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spacing w:after="14" w:line="250" w:lineRule="auto"/>
        <w:ind w:left="-5" w:hanging="10"/>
        <w:rPr>
          <w:color w:val="000000"/>
        </w:rPr>
      </w:pPr>
      <w:bookmarkStart w:colFirst="0" w:colLast="0" w:name="_heading=h.30j0zll" w:id="0"/>
      <w:bookmarkEnd w:id="0"/>
      <w:r w:rsidDel="00000000" w:rsidR="00000000" w:rsidRPr="00000000">
        <w:rPr>
          <w:rFonts w:ascii="Arial" w:cs="Arial" w:eastAsia="Arial" w:hAnsi="Arial"/>
          <w:b w:val="1"/>
          <w:color w:val="104f75"/>
          <w:sz w:val="36"/>
          <w:szCs w:val="36"/>
          <w:rtl w:val="0"/>
        </w:rPr>
        <w:t xml:space="preserve">Part B: Review of outcomes in the previous academic year </w:t>
      </w:r>
      <w:r w:rsidDel="00000000" w:rsidR="00000000" w:rsidRPr="00000000">
        <w:rPr>
          <w:rtl w:val="0"/>
        </w:rPr>
      </w:r>
    </w:p>
    <w:p w:rsidR="00000000" w:rsidDel="00000000" w:rsidP="00000000" w:rsidRDefault="00000000" w:rsidRPr="00000000" w14:paraId="00000002">
      <w:pPr>
        <w:keepNext w:val="1"/>
        <w:keepLines w:val="1"/>
        <w:spacing w:after="0" w:lineRule="auto"/>
        <w:ind w:left="-5" w:hanging="10"/>
        <w:rPr>
          <w:rFonts w:ascii="Arial" w:cs="Arial" w:eastAsia="Arial" w:hAnsi="Arial"/>
          <w:b w:val="1"/>
          <w:color w:val="104f75"/>
          <w:sz w:val="32"/>
          <w:szCs w:val="32"/>
        </w:rPr>
      </w:pPr>
      <w:r w:rsidDel="00000000" w:rsidR="00000000" w:rsidRPr="00000000">
        <w:rPr>
          <w:rFonts w:ascii="Arial" w:cs="Arial" w:eastAsia="Arial" w:hAnsi="Arial"/>
          <w:b w:val="1"/>
          <w:color w:val="104f75"/>
          <w:sz w:val="32"/>
          <w:szCs w:val="32"/>
          <w:rtl w:val="0"/>
        </w:rPr>
        <w:t xml:space="preserve">Pupil premium strategy outcomes </w:t>
      </w:r>
    </w:p>
    <w:p w:rsidR="00000000" w:rsidDel="00000000" w:rsidP="00000000" w:rsidRDefault="00000000" w:rsidRPr="00000000" w14:paraId="00000003">
      <w:pPr>
        <w:spacing w:after="5" w:line="250" w:lineRule="auto"/>
        <w:ind w:left="-5" w:hanging="10"/>
        <w:rPr>
          <w:color w:val="000000"/>
        </w:rPr>
      </w:pPr>
      <w:r w:rsidDel="00000000" w:rsidR="00000000" w:rsidRPr="00000000">
        <w:rPr>
          <w:rFonts w:ascii="Arial" w:cs="Arial" w:eastAsia="Arial" w:hAnsi="Arial"/>
          <w:color w:val="0d0d0d"/>
          <w:sz w:val="24"/>
          <w:szCs w:val="24"/>
          <w:rtl w:val="0"/>
        </w:rPr>
        <w:t xml:space="preserve">This details the impact that our pupil premium activity had on pupils in the 2022 to 2023 academic year. </w:t>
      </w:r>
      <w:r w:rsidDel="00000000" w:rsidR="00000000" w:rsidRPr="00000000">
        <w:rPr>
          <w:rtl w:val="0"/>
        </w:rPr>
      </w:r>
    </w:p>
    <w:p w:rsidR="00000000" w:rsidDel="00000000" w:rsidP="00000000" w:rsidRDefault="00000000" w:rsidRPr="00000000" w14:paraId="00000004">
      <w:pPr>
        <w:spacing w:after="0" w:lineRule="auto"/>
        <w:rPr>
          <w:color w:val="000000"/>
        </w:rPr>
      </w:pPr>
      <w:r w:rsidDel="00000000" w:rsidR="00000000" w:rsidRPr="00000000">
        <w:rPr>
          <w:rFonts w:ascii="Arial" w:cs="Arial" w:eastAsia="Arial" w:hAnsi="Arial"/>
          <w:color w:val="0d0d0d"/>
          <w:sz w:val="24"/>
          <w:szCs w:val="24"/>
          <w:rtl w:val="0"/>
        </w:rPr>
        <w:t xml:space="preserve"> </w:t>
      </w:r>
      <w:r w:rsidDel="00000000" w:rsidR="00000000" w:rsidRPr="00000000">
        <w:rPr>
          <w:rtl w:val="0"/>
        </w:rPr>
      </w:r>
    </w:p>
    <w:p w:rsidR="00000000" w:rsidDel="00000000" w:rsidP="00000000" w:rsidRDefault="00000000" w:rsidRPr="00000000" w14:paraId="00000005">
      <w:pPr>
        <w:spacing w:after="0" w:lineRule="auto"/>
        <w:rPr>
          <w:color w:val="000000"/>
        </w:rPr>
      </w:pPr>
      <w:r w:rsidDel="00000000" w:rsidR="00000000" w:rsidRPr="00000000">
        <w:rPr>
          <w:rFonts w:ascii="Arial" w:cs="Arial" w:eastAsia="Arial" w:hAnsi="Arial"/>
          <w:b w:val="1"/>
          <w:color w:val="0d0d0d"/>
          <w:sz w:val="24"/>
          <w:szCs w:val="24"/>
          <w:rtl w:val="0"/>
        </w:rPr>
        <w:t xml:space="preserve">End of Key Stage 2 Outcomes; July 2023  </w:t>
      </w:r>
      <w:r w:rsidDel="00000000" w:rsidR="00000000" w:rsidRPr="00000000">
        <w:rPr>
          <w:rtl w:val="0"/>
        </w:rPr>
      </w:r>
    </w:p>
    <w:p w:rsidR="00000000" w:rsidDel="00000000" w:rsidP="00000000" w:rsidRDefault="00000000" w:rsidRPr="00000000" w14:paraId="00000006">
      <w:pPr>
        <w:spacing w:after="0" w:lineRule="auto"/>
        <w:rPr>
          <w:color w:val="000000"/>
        </w:rPr>
      </w:pPr>
      <w:r w:rsidDel="00000000" w:rsidR="00000000" w:rsidRPr="00000000">
        <w:rPr>
          <w:rFonts w:ascii="Arial" w:cs="Arial" w:eastAsia="Arial" w:hAnsi="Arial"/>
          <w:b w:val="1"/>
          <w:color w:val="0d0d0d"/>
          <w:sz w:val="24"/>
          <w:szCs w:val="24"/>
          <w:rtl w:val="0"/>
        </w:rPr>
        <w:t xml:space="preserve"> </w:t>
      </w:r>
      <w:r w:rsidDel="00000000" w:rsidR="00000000" w:rsidRPr="00000000">
        <w:rPr>
          <w:rtl w:val="0"/>
        </w:rPr>
      </w:r>
    </w:p>
    <w:tbl>
      <w:tblPr>
        <w:tblStyle w:val="Table1"/>
        <w:tblW w:w="921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2"/>
        <w:gridCol w:w="2412"/>
        <w:gridCol w:w="2406"/>
        <w:tblGridChange w:id="0">
          <w:tblGrid>
            <w:gridCol w:w="4392"/>
            <w:gridCol w:w="2412"/>
            <w:gridCol w:w="2406"/>
          </w:tblGrid>
        </w:tblGridChange>
      </w:tblGrid>
      <w:tr>
        <w:trPr>
          <w:cantSplit w:val="0"/>
          <w:trHeight w:val="74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07">
            <w:pPr>
              <w:ind w:left="5" w:firstLine="0"/>
              <w:rPr>
                <w:color w:val="000000"/>
              </w:rPr>
            </w:pPr>
            <w:r w:rsidDel="00000000" w:rsidR="00000000" w:rsidRPr="00000000">
              <w:rPr>
                <w:color w:val="0d0d0d"/>
                <w:sz w:val="24"/>
                <w:szCs w:val="24"/>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ind w:left="5" w:right="321" w:firstLine="0"/>
              <w:rPr>
                <w:highlight w:val="yellow"/>
              </w:rPr>
            </w:pPr>
            <w:r w:rsidDel="00000000" w:rsidR="00000000" w:rsidRPr="00000000">
              <w:rPr>
                <w:sz w:val="24"/>
                <w:szCs w:val="24"/>
                <w:rtl w:val="0"/>
              </w:rPr>
              <w:t xml:space="preserve">Disadvantaged  (14 pupils – 7 pupils were on the SEND register, 2 of whom had EHCPs, 2 of whom had PFAs) </w:t>
            </w:r>
            <w:r w:rsidDel="00000000" w:rsidR="00000000" w:rsidRPr="00000000">
              <w:rPr>
                <w:rtl w:val="0"/>
              </w:rPr>
            </w:r>
          </w:p>
        </w:tc>
        <w:tc>
          <w:tcPr>
            <w:tcBorders>
              <w:top w:color="000000" w:space="0" w:sz="4" w:val="single"/>
              <w:left w:color="000000" w:space="0" w:sz="4" w:val="single"/>
              <w:bottom w:color="f2f2f2" w:space="0" w:sz="23" w:val="single"/>
              <w:right w:color="000000" w:space="0" w:sz="4" w:val="single"/>
            </w:tcBorders>
          </w:tcPr>
          <w:p w:rsidR="00000000" w:rsidDel="00000000" w:rsidP="00000000" w:rsidRDefault="00000000" w:rsidRPr="00000000" w14:paraId="00000009">
            <w:pPr>
              <w:jc w:val="center"/>
              <w:rPr/>
            </w:pPr>
            <w:r w:rsidDel="00000000" w:rsidR="00000000" w:rsidRPr="00000000">
              <w:rPr>
                <w:sz w:val="24"/>
                <w:szCs w:val="24"/>
                <w:rtl w:val="0"/>
              </w:rPr>
              <w:t xml:space="preserve">Whole Cohort (68 pupils)</w:t>
            </w:r>
            <w:r w:rsidDel="00000000" w:rsidR="00000000" w:rsidRPr="00000000">
              <w:rPr>
                <w:rtl w:val="0"/>
              </w:rPr>
            </w:r>
          </w:p>
        </w:tc>
      </w:tr>
      <w:tr>
        <w:trPr>
          <w:cantSplit w:val="0"/>
          <w:trHeight w:val="6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ind w:left="5" w:firstLine="0"/>
              <w:rPr>
                <w:color w:val="000000"/>
              </w:rPr>
            </w:pPr>
            <w:r w:rsidDel="00000000" w:rsidR="00000000" w:rsidRPr="00000000">
              <w:rPr>
                <w:rFonts w:ascii="Tahoma" w:cs="Tahoma" w:eastAsia="Tahoma" w:hAnsi="Tahoma"/>
                <w:color w:val="0d0d0d"/>
                <w:sz w:val="24"/>
                <w:szCs w:val="24"/>
                <w:rtl w:val="0"/>
              </w:rPr>
              <w:t xml:space="preserve">% of pupils achieving the expected standard in reading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B">
            <w:pPr>
              <w:ind w:left="12" w:firstLine="0"/>
              <w:jc w:val="center"/>
              <w:rPr/>
            </w:pPr>
            <w:r w:rsidDel="00000000" w:rsidR="00000000" w:rsidRPr="00000000">
              <w:rPr>
                <w:rFonts w:ascii="Tahoma" w:cs="Tahoma" w:eastAsia="Tahoma" w:hAnsi="Tahoma"/>
                <w:sz w:val="24"/>
                <w:szCs w:val="24"/>
                <w:rtl w:val="0"/>
              </w:rPr>
              <w:t xml:space="preserve">57% </w:t>
            </w:r>
            <w:r w:rsidDel="00000000" w:rsidR="00000000" w:rsidRPr="00000000">
              <w:rPr>
                <w:rtl w:val="0"/>
              </w:rPr>
            </w:r>
          </w:p>
        </w:tc>
        <w:tc>
          <w:tcPr>
            <w:tcBorders>
              <w:top w:color="f2f2f2" w:space="0" w:sz="23" w:val="single"/>
              <w:left w:color="000000" w:space="0" w:sz="4" w:val="single"/>
              <w:bottom w:color="f2f2f2" w:space="0" w:sz="23" w:val="single"/>
              <w:right w:color="000000" w:space="0" w:sz="4" w:val="single"/>
            </w:tcBorders>
            <w:shd w:fill="f2f2f2" w:val="clear"/>
            <w:vAlign w:val="center"/>
          </w:tcPr>
          <w:p w:rsidR="00000000" w:rsidDel="00000000" w:rsidP="00000000" w:rsidRDefault="00000000" w:rsidRPr="00000000" w14:paraId="0000000C">
            <w:pPr>
              <w:ind w:left="8" w:firstLine="0"/>
              <w:jc w:val="center"/>
              <w:rPr/>
            </w:pPr>
            <w:r w:rsidDel="00000000" w:rsidR="00000000" w:rsidRPr="00000000">
              <w:rPr>
                <w:rFonts w:ascii="Tahoma" w:cs="Tahoma" w:eastAsia="Tahoma" w:hAnsi="Tahoma"/>
                <w:sz w:val="24"/>
                <w:szCs w:val="24"/>
                <w:rtl w:val="0"/>
              </w:rPr>
              <w:t xml:space="preserve">76% </w:t>
            </w:r>
            <w:r w:rsidDel="00000000" w:rsidR="00000000" w:rsidRPr="00000000">
              <w:rPr>
                <w:rtl w:val="0"/>
              </w:rPr>
            </w:r>
          </w:p>
        </w:tc>
      </w:tr>
      <w:tr>
        <w:trPr>
          <w:cantSplit w:val="0"/>
          <w:trHeight w:val="70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ind w:left="5" w:firstLine="0"/>
              <w:rPr>
                <w:color w:val="000000"/>
              </w:rPr>
            </w:pPr>
            <w:r w:rsidDel="00000000" w:rsidR="00000000" w:rsidRPr="00000000">
              <w:rPr>
                <w:rFonts w:ascii="Tahoma" w:cs="Tahoma" w:eastAsia="Tahoma" w:hAnsi="Tahoma"/>
                <w:color w:val="0d0d0d"/>
                <w:sz w:val="24"/>
                <w:szCs w:val="24"/>
                <w:rtl w:val="0"/>
              </w:rPr>
              <w:t xml:space="preserve">% of pupils achieving the expected standard in writing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E">
            <w:pPr>
              <w:ind w:left="12" w:firstLine="0"/>
              <w:jc w:val="center"/>
              <w:rPr/>
            </w:pPr>
            <w:r w:rsidDel="00000000" w:rsidR="00000000" w:rsidRPr="00000000">
              <w:rPr>
                <w:rFonts w:ascii="Tahoma" w:cs="Tahoma" w:eastAsia="Tahoma" w:hAnsi="Tahoma"/>
                <w:sz w:val="24"/>
                <w:szCs w:val="24"/>
                <w:rtl w:val="0"/>
              </w:rPr>
              <w:t xml:space="preserve">29% </w:t>
            </w:r>
            <w:r w:rsidDel="00000000" w:rsidR="00000000" w:rsidRPr="00000000">
              <w:rPr>
                <w:rtl w:val="0"/>
              </w:rPr>
            </w:r>
          </w:p>
        </w:tc>
        <w:tc>
          <w:tcPr>
            <w:tcBorders>
              <w:top w:color="f2f2f2" w:space="0" w:sz="23" w:val="single"/>
              <w:left w:color="000000" w:space="0" w:sz="4" w:val="single"/>
              <w:bottom w:color="f2f2f2" w:space="0" w:sz="23" w:val="single"/>
              <w:right w:color="000000" w:space="0" w:sz="4" w:val="single"/>
            </w:tcBorders>
            <w:shd w:fill="f2f2f2" w:val="clear"/>
            <w:vAlign w:val="center"/>
          </w:tcPr>
          <w:p w:rsidR="00000000" w:rsidDel="00000000" w:rsidP="00000000" w:rsidRDefault="00000000" w:rsidRPr="00000000" w14:paraId="0000000F">
            <w:pPr>
              <w:ind w:left="8" w:firstLine="0"/>
              <w:jc w:val="center"/>
              <w:rPr/>
            </w:pPr>
            <w:r w:rsidDel="00000000" w:rsidR="00000000" w:rsidRPr="00000000">
              <w:rPr>
                <w:rFonts w:ascii="Tahoma" w:cs="Tahoma" w:eastAsia="Tahoma" w:hAnsi="Tahoma"/>
                <w:sz w:val="24"/>
                <w:szCs w:val="24"/>
                <w:rtl w:val="0"/>
              </w:rPr>
              <w:t xml:space="preserve">71% </w:t>
            </w:r>
            <w:r w:rsidDel="00000000" w:rsidR="00000000" w:rsidRPr="00000000">
              <w:rPr>
                <w:rtl w:val="0"/>
              </w:rPr>
            </w:r>
          </w:p>
        </w:tc>
      </w:tr>
      <w:tr>
        <w:trPr>
          <w:cantSplit w:val="0"/>
          <w:trHeight w:val="67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ind w:left="5" w:firstLine="0"/>
              <w:rPr>
                <w:color w:val="000000"/>
              </w:rPr>
            </w:pPr>
            <w:r w:rsidDel="00000000" w:rsidR="00000000" w:rsidRPr="00000000">
              <w:rPr>
                <w:rFonts w:ascii="Tahoma" w:cs="Tahoma" w:eastAsia="Tahoma" w:hAnsi="Tahoma"/>
                <w:color w:val="0d0d0d"/>
                <w:sz w:val="24"/>
                <w:szCs w:val="24"/>
                <w:rtl w:val="0"/>
              </w:rPr>
              <w:t xml:space="preserve">% of pupils achieving the expected standard in maths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1">
            <w:pPr>
              <w:ind w:left="12" w:firstLine="0"/>
              <w:jc w:val="center"/>
              <w:rPr/>
            </w:pPr>
            <w:r w:rsidDel="00000000" w:rsidR="00000000" w:rsidRPr="00000000">
              <w:rPr>
                <w:rFonts w:ascii="Tahoma" w:cs="Tahoma" w:eastAsia="Tahoma" w:hAnsi="Tahoma"/>
                <w:sz w:val="24"/>
                <w:szCs w:val="24"/>
                <w:rtl w:val="0"/>
              </w:rPr>
              <w:t xml:space="preserve">6% </w:t>
            </w:r>
            <w:r w:rsidDel="00000000" w:rsidR="00000000" w:rsidRPr="00000000">
              <w:rPr>
                <w:rtl w:val="0"/>
              </w:rPr>
            </w:r>
          </w:p>
        </w:tc>
        <w:tc>
          <w:tcPr>
            <w:tcBorders>
              <w:top w:color="f2f2f2" w:space="0" w:sz="23"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2">
            <w:pPr>
              <w:ind w:left="8" w:firstLine="0"/>
              <w:jc w:val="center"/>
              <w:rPr/>
            </w:pPr>
            <w:r w:rsidDel="00000000" w:rsidR="00000000" w:rsidRPr="00000000">
              <w:rPr>
                <w:rFonts w:ascii="Tahoma" w:cs="Tahoma" w:eastAsia="Tahoma" w:hAnsi="Tahoma"/>
                <w:sz w:val="24"/>
                <w:szCs w:val="24"/>
                <w:rtl w:val="0"/>
              </w:rPr>
              <w:t xml:space="preserve">66% </w:t>
            </w:r>
            <w:r w:rsidDel="00000000" w:rsidR="00000000" w:rsidRPr="00000000">
              <w:rPr>
                <w:rtl w:val="0"/>
              </w:rPr>
            </w:r>
          </w:p>
        </w:tc>
      </w:tr>
    </w:tbl>
    <w:p w:rsidR="00000000" w:rsidDel="00000000" w:rsidP="00000000" w:rsidRDefault="00000000" w:rsidRPr="00000000" w14:paraId="00000013">
      <w:pPr>
        <w:spacing w:after="0" w:lineRule="auto"/>
        <w:rPr>
          <w:color w:val="000000"/>
        </w:rPr>
      </w:pPr>
      <w:r w:rsidDel="00000000" w:rsidR="00000000" w:rsidRPr="00000000">
        <w:rPr>
          <w:rFonts w:ascii="Arial" w:cs="Arial" w:eastAsia="Arial" w:hAnsi="Arial"/>
          <w:b w:val="1"/>
          <w:color w:val="0d0d0d"/>
          <w:sz w:val="24"/>
          <w:szCs w:val="24"/>
          <w:rtl w:val="0"/>
        </w:rPr>
        <w:t xml:space="preserve"> </w:t>
      </w:r>
      <w:r w:rsidDel="00000000" w:rsidR="00000000" w:rsidRPr="00000000">
        <w:rPr>
          <w:rtl w:val="0"/>
        </w:rPr>
      </w:r>
    </w:p>
    <w:p w:rsidR="00000000" w:rsidDel="00000000" w:rsidP="00000000" w:rsidRDefault="00000000" w:rsidRPr="00000000" w14:paraId="00000014">
      <w:pPr>
        <w:spacing w:after="0" w:lineRule="auto"/>
        <w:rPr>
          <w:color w:val="000000"/>
        </w:rPr>
      </w:pPr>
      <w:r w:rsidDel="00000000" w:rsidR="00000000" w:rsidRPr="00000000">
        <w:rPr>
          <w:rFonts w:ascii="Arial" w:cs="Arial" w:eastAsia="Arial" w:hAnsi="Arial"/>
          <w:color w:val="0d0d0d"/>
          <w:sz w:val="24"/>
          <w:szCs w:val="24"/>
          <w:rtl w:val="0"/>
        </w:rPr>
        <w:t xml:space="preserve"> </w:t>
      </w:r>
      <w:r w:rsidDel="00000000" w:rsidR="00000000" w:rsidRPr="00000000">
        <w:rPr>
          <w:rtl w:val="0"/>
        </w:rPr>
      </w:r>
    </w:p>
    <w:tbl>
      <w:tblPr>
        <w:tblStyle w:val="Table2"/>
        <w:tblW w:w="9777.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6805"/>
        <w:tblGridChange w:id="0">
          <w:tblGrid>
            <w:gridCol w:w="2972"/>
            <w:gridCol w:w="6805"/>
          </w:tblGrid>
        </w:tblGridChange>
      </w:tblGrid>
      <w:tr>
        <w:trPr>
          <w:cantSplit w:val="0"/>
          <w:trHeight w:val="466"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15">
            <w:pPr>
              <w:rPr>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16">
            <w:pPr>
              <w:ind w:left="48" w:firstLine="0"/>
              <w:rPr>
                <w:color w:val="000000"/>
              </w:rPr>
            </w:pPr>
            <w:r w:rsidDel="00000000" w:rsidR="00000000" w:rsidRPr="00000000">
              <w:rPr>
                <w:b w:val="1"/>
                <w:color w:val="0d0d0d"/>
                <w:sz w:val="28"/>
                <w:szCs w:val="28"/>
                <w:rtl w:val="0"/>
              </w:rPr>
              <w:t xml:space="preserve">Strategy Outcomes (July 2023)</w:t>
            </w:r>
            <w:r w:rsidDel="00000000" w:rsidR="00000000" w:rsidRPr="00000000">
              <w:rPr>
                <w:b w:val="1"/>
                <w:color w:val="0d0d0d"/>
                <w:sz w:val="20"/>
                <w:szCs w:val="20"/>
                <w:rtl w:val="0"/>
              </w:rPr>
              <w:t xml:space="preserve"> </w:t>
            </w:r>
            <w:r w:rsidDel="00000000" w:rsidR="00000000" w:rsidRPr="00000000">
              <w:rPr>
                <w:rtl w:val="0"/>
              </w:rPr>
            </w:r>
          </w:p>
        </w:tc>
      </w:tr>
      <w:tr>
        <w:trPr>
          <w:cantSplit w:val="0"/>
          <w:trHeight w:val="65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ind w:right="101"/>
              <w:jc w:val="center"/>
              <w:rPr>
                <w:color w:val="000000"/>
              </w:rPr>
            </w:pPr>
            <w:r w:rsidDel="00000000" w:rsidR="00000000" w:rsidRPr="00000000">
              <w:rPr>
                <w:rFonts w:ascii="Tahoma" w:cs="Tahoma" w:eastAsia="Tahoma" w:hAnsi="Tahoma"/>
                <w:b w:val="1"/>
                <w:color w:val="0d0d0d"/>
                <w:sz w:val="20"/>
                <w:szCs w:val="20"/>
                <w:rtl w:val="0"/>
              </w:rPr>
              <w:t xml:space="preserve">Aim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ind w:right="100"/>
              <w:jc w:val="center"/>
              <w:rPr>
                <w:color w:val="000000"/>
              </w:rPr>
            </w:pPr>
            <w:r w:rsidDel="00000000" w:rsidR="00000000" w:rsidRPr="00000000">
              <w:rPr>
                <w:rFonts w:ascii="Tahoma" w:cs="Tahoma" w:eastAsia="Tahoma" w:hAnsi="Tahoma"/>
                <w:b w:val="1"/>
                <w:color w:val="0d0d0d"/>
                <w:sz w:val="20"/>
                <w:szCs w:val="20"/>
                <w:rtl w:val="0"/>
              </w:rPr>
              <w:t xml:space="preserve">Impact </w:t>
            </w:r>
            <w:r w:rsidDel="00000000" w:rsidR="00000000" w:rsidRPr="00000000">
              <w:rPr>
                <w:rtl w:val="0"/>
              </w:rPr>
            </w:r>
          </w:p>
        </w:tc>
      </w:tr>
      <w:tr>
        <w:trPr>
          <w:cantSplit w:val="0"/>
          <w:trHeight w:val="135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spacing w:after="1" w:lineRule="auto"/>
              <w:ind w:right="58"/>
              <w:rPr>
                <w:rFonts w:ascii="Tahoma" w:cs="Tahoma" w:eastAsia="Tahoma" w:hAnsi="Tahoma"/>
                <w:color w:val="0d0d0d"/>
                <w:sz w:val="18"/>
                <w:szCs w:val="18"/>
              </w:rPr>
            </w:pPr>
            <w:r w:rsidDel="00000000" w:rsidR="00000000" w:rsidRPr="00000000">
              <w:rPr>
                <w:rFonts w:ascii="Tahoma" w:cs="Tahoma" w:eastAsia="Tahoma" w:hAnsi="Tahoma"/>
                <w:color w:val="0d0d0d"/>
                <w:sz w:val="18"/>
                <w:szCs w:val="18"/>
                <w:rtl w:val="0"/>
              </w:rPr>
              <w:t xml:space="preserve">As a result of having access to additional resources and support, disadvantaged pupils make accelerated progress in reading over time. This is demonstrated through rigorous fluency screening each half term, progress through a newly purchased Oxford Owl reading scheme, 1-1 reading systems, daily class reading for pleasure, termly summative assessments using NTS resources, Phonics screening, and progress through the RWI phonics &amp; RWI Fresh Start programmes. Pupils have also been supported through bespoke support plans and reading programmes as needed</w:t>
            </w:r>
          </w:p>
          <w:p w:rsidR="00000000" w:rsidDel="00000000" w:rsidP="00000000" w:rsidRDefault="00000000" w:rsidRPr="00000000" w14:paraId="0000001A">
            <w:pPr>
              <w:spacing w:after="242" w:line="284"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1B">
            <w:pPr>
              <w:spacing w:after="286" w:line="287" w:lineRule="auto"/>
              <w:rPr>
                <w:rFonts w:ascii="Tahoma" w:cs="Tahoma" w:eastAsia="Tahoma" w:hAnsi="Tahoma"/>
                <w:color w:val="0d0d0d"/>
                <w:sz w:val="18"/>
                <w:szCs w:val="18"/>
              </w:rPr>
            </w:pPr>
            <w:r w:rsidDel="00000000" w:rsidR="00000000" w:rsidRPr="00000000">
              <w:rPr>
                <w:rFonts w:ascii="Tahoma" w:cs="Tahoma" w:eastAsia="Tahoma" w:hAnsi="Tahoma"/>
                <w:color w:val="0d0d0d"/>
                <w:sz w:val="18"/>
                <w:szCs w:val="18"/>
                <w:rtl w:val="0"/>
              </w:rPr>
              <w:t xml:space="preserve">In all year groups, disadvantaged pupils made good progress in reading by the end of academic year 2022-23. </w:t>
            </w:r>
          </w:p>
          <w:tbl>
            <w:tblPr>
              <w:tblStyle w:val="Table3"/>
              <w:tblW w:w="66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2"/>
              <w:gridCol w:w="1651"/>
              <w:gridCol w:w="1651"/>
              <w:gridCol w:w="1651"/>
              <w:tblGridChange w:id="0">
                <w:tblGrid>
                  <w:gridCol w:w="1652"/>
                  <w:gridCol w:w="1651"/>
                  <w:gridCol w:w="1651"/>
                  <w:gridCol w:w="1651"/>
                </w:tblGrid>
              </w:tblGridChange>
            </w:tblGrid>
            <w:tr>
              <w:trPr>
                <w:cantSplit w:val="0"/>
                <w:tblHeader w:val="0"/>
              </w:trPr>
              <w:tc>
                <w:tcPr>
                  <w:shd w:fill="cccccc" w:val="clear"/>
                  <w:tcMar>
                    <w:top w:w="100.0" w:type="dxa"/>
                    <w:left w:w="100.0" w:type="dxa"/>
                    <w:bottom w:w="100.0" w:type="dxa"/>
                    <w:right w:w="100.0" w:type="dxa"/>
                  </w:tcMa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after="0" w:line="240" w:lineRule="auto"/>
                    <w:rPr>
                      <w:rFonts w:ascii="Tahoma" w:cs="Tahoma" w:eastAsia="Tahoma" w:hAnsi="Tahoma"/>
                      <w:color w:val="0d0d0d"/>
                      <w:sz w:val="18"/>
                      <w:szCs w:val="18"/>
                    </w:rPr>
                  </w:pPr>
                  <w:r w:rsidDel="00000000" w:rsidR="00000000" w:rsidRPr="00000000">
                    <w:rPr>
                      <w:rtl w:val="0"/>
                    </w:rPr>
                  </w:r>
                </w:p>
              </w:tc>
              <w:tc>
                <w:tcPr>
                  <w:shd w:fill="cccccc" w:val="clear"/>
                  <w:tcMar>
                    <w:top w:w="100.0" w:type="dxa"/>
                    <w:left w:w="100.0" w:type="dxa"/>
                    <w:bottom w:w="10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after="0" w:line="240" w:lineRule="auto"/>
                    <w:rPr>
                      <w:rFonts w:ascii="Tahoma" w:cs="Tahoma" w:eastAsia="Tahoma" w:hAnsi="Tahoma"/>
                      <w:color w:val="0d0d0d"/>
                      <w:sz w:val="18"/>
                      <w:szCs w:val="18"/>
                    </w:rPr>
                  </w:pPr>
                  <w:r w:rsidDel="00000000" w:rsidR="00000000" w:rsidRPr="00000000">
                    <w:rPr>
                      <w:rFonts w:ascii="Tahoma" w:cs="Tahoma" w:eastAsia="Tahoma" w:hAnsi="Tahoma"/>
                      <w:color w:val="0d0d0d"/>
                      <w:sz w:val="18"/>
                      <w:szCs w:val="18"/>
                      <w:rtl w:val="0"/>
                    </w:rPr>
                    <w:t xml:space="preserve">% of disadvantaged pupils</w:t>
                  </w:r>
                </w:p>
              </w:tc>
              <w:tc>
                <w:tcPr>
                  <w:shd w:fill="cccccc" w:val="clear"/>
                  <w:tcMar>
                    <w:top w:w="100.0" w:type="dxa"/>
                    <w:left w:w="100.0" w:type="dxa"/>
                    <w:bottom w:w="100.0" w:type="dxa"/>
                    <w:right w:w="100.0" w:type="dxa"/>
                  </w:tcMa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after="0" w:line="240" w:lineRule="auto"/>
                    <w:rPr>
                      <w:rFonts w:ascii="Tahoma" w:cs="Tahoma" w:eastAsia="Tahoma" w:hAnsi="Tahoma"/>
                      <w:color w:val="0d0d0d"/>
                      <w:sz w:val="18"/>
                      <w:szCs w:val="18"/>
                    </w:rPr>
                  </w:pPr>
                  <w:r w:rsidDel="00000000" w:rsidR="00000000" w:rsidRPr="00000000">
                    <w:rPr>
                      <w:rFonts w:ascii="Tahoma" w:cs="Tahoma" w:eastAsia="Tahoma" w:hAnsi="Tahoma"/>
                      <w:color w:val="0d0d0d"/>
                      <w:sz w:val="18"/>
                      <w:szCs w:val="18"/>
                      <w:rtl w:val="0"/>
                    </w:rPr>
                    <w:t xml:space="preserve">expected progress</w:t>
                  </w:r>
                </w:p>
              </w:tc>
              <w:tc>
                <w:tcPr>
                  <w:shd w:fill="cccccc" w:val="clear"/>
                  <w:tcMar>
                    <w:top w:w="100.0" w:type="dxa"/>
                    <w:left w:w="100.0" w:type="dxa"/>
                    <w:bottom w:w="100.0" w:type="dxa"/>
                    <w:right w:w="10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after="0" w:line="240" w:lineRule="auto"/>
                    <w:rPr>
                      <w:rFonts w:ascii="Tahoma" w:cs="Tahoma" w:eastAsia="Tahoma" w:hAnsi="Tahoma"/>
                      <w:color w:val="0d0d0d"/>
                      <w:sz w:val="18"/>
                      <w:szCs w:val="18"/>
                    </w:rPr>
                  </w:pPr>
                  <w:r w:rsidDel="00000000" w:rsidR="00000000" w:rsidRPr="00000000">
                    <w:rPr>
                      <w:rFonts w:ascii="Tahoma" w:cs="Tahoma" w:eastAsia="Tahoma" w:hAnsi="Tahoma"/>
                      <w:color w:val="0d0d0d"/>
                      <w:sz w:val="18"/>
                      <w:szCs w:val="18"/>
                      <w:rtl w:val="0"/>
                    </w:rPr>
                    <w:t xml:space="preserve">expected +  progress</w:t>
                  </w:r>
                </w:p>
              </w:tc>
            </w:tr>
            <w:tr>
              <w:trPr>
                <w:cantSplit w:val="0"/>
                <w:tblHeader w:val="0"/>
              </w:trPr>
              <w:tc>
                <w:tcPr>
                  <w:shd w:fill="cccccc" w:val="clear"/>
                  <w:tcMar>
                    <w:top w:w="100.0" w:type="dxa"/>
                    <w:left w:w="100.0" w:type="dxa"/>
                    <w:bottom w:w="100.0" w:type="dxa"/>
                    <w:right w:w="100.0" w:type="dxa"/>
                  </w:tcMar>
                </w:tcPr>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after="0" w:line="240" w:lineRule="auto"/>
                    <w:rPr>
                      <w:rFonts w:ascii="Tahoma" w:cs="Tahoma" w:eastAsia="Tahoma" w:hAnsi="Tahoma"/>
                      <w:color w:val="0d0d0d"/>
                      <w:sz w:val="18"/>
                      <w:szCs w:val="18"/>
                    </w:rPr>
                  </w:pPr>
                  <w:r w:rsidDel="00000000" w:rsidR="00000000" w:rsidRPr="00000000">
                    <w:rPr>
                      <w:rFonts w:ascii="Tahoma" w:cs="Tahoma" w:eastAsia="Tahoma" w:hAnsi="Tahoma"/>
                      <w:color w:val="0d0d0d"/>
                      <w:sz w:val="18"/>
                      <w:szCs w:val="18"/>
                      <w:rtl w:val="0"/>
                    </w:rPr>
                    <w:t xml:space="preserve">Year 3</w:t>
                  </w:r>
                </w:p>
              </w:tc>
              <w:tc>
                <w:tcPr>
                  <w:shd w:fill="auto" w:val="clear"/>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after="0" w:line="240" w:lineRule="auto"/>
                    <w:rPr>
                      <w:rFonts w:ascii="Tahoma" w:cs="Tahoma" w:eastAsia="Tahoma" w:hAnsi="Tahoma"/>
                      <w:color w:val="0d0d0d"/>
                      <w:sz w:val="18"/>
                      <w:szCs w:val="18"/>
                    </w:rPr>
                  </w:pPr>
                  <w:r w:rsidDel="00000000" w:rsidR="00000000" w:rsidRPr="00000000">
                    <w:rPr>
                      <w:rFonts w:ascii="Tahoma" w:cs="Tahoma" w:eastAsia="Tahoma" w:hAnsi="Tahoma"/>
                      <w:color w:val="0d0d0d"/>
                      <w:sz w:val="18"/>
                      <w:szCs w:val="18"/>
                      <w:rtl w:val="0"/>
                    </w:rPr>
                    <w:t xml:space="preserve">32%</w:t>
                  </w:r>
                </w:p>
              </w:tc>
              <w:tc>
                <w:tcPr>
                  <w:shd w:fill="auto" w:val="clear"/>
                  <w:tcMar>
                    <w:top w:w="100.0" w:type="dxa"/>
                    <w:left w:w="100.0" w:type="dxa"/>
                    <w:bottom w:w="100.0" w:type="dxa"/>
                    <w:right w:w="100.0" w:type="dxa"/>
                  </w:tcMar>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after="0" w:line="240" w:lineRule="auto"/>
                    <w:rPr>
                      <w:rFonts w:ascii="Tahoma" w:cs="Tahoma" w:eastAsia="Tahoma" w:hAnsi="Tahoma"/>
                      <w:color w:val="0d0d0d"/>
                      <w:sz w:val="18"/>
                      <w:szCs w:val="18"/>
                    </w:rPr>
                  </w:pPr>
                  <w:r w:rsidDel="00000000" w:rsidR="00000000" w:rsidRPr="00000000">
                    <w:rPr>
                      <w:rFonts w:ascii="Tahoma" w:cs="Tahoma" w:eastAsia="Tahoma" w:hAnsi="Tahoma"/>
                      <w:color w:val="0d0d0d"/>
                      <w:sz w:val="18"/>
                      <w:szCs w:val="18"/>
                      <w:rtl w:val="0"/>
                    </w:rPr>
                    <w:t xml:space="preserve">38%</w:t>
                  </w:r>
                </w:p>
              </w:tc>
              <w:tc>
                <w:tcPr>
                  <w:shd w:fill="auto" w:val="clear"/>
                  <w:tcMar>
                    <w:top w:w="100.0" w:type="dxa"/>
                    <w:left w:w="100.0" w:type="dxa"/>
                    <w:bottom w:w="100.0" w:type="dxa"/>
                    <w:right w:w="100.0" w:type="dxa"/>
                  </w:tcM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after="0" w:line="240" w:lineRule="auto"/>
                    <w:rPr>
                      <w:rFonts w:ascii="Tahoma" w:cs="Tahoma" w:eastAsia="Tahoma" w:hAnsi="Tahoma"/>
                      <w:color w:val="0d0d0d"/>
                      <w:sz w:val="18"/>
                      <w:szCs w:val="18"/>
                    </w:rPr>
                  </w:pPr>
                  <w:r w:rsidDel="00000000" w:rsidR="00000000" w:rsidRPr="00000000">
                    <w:rPr>
                      <w:rFonts w:ascii="Tahoma" w:cs="Tahoma" w:eastAsia="Tahoma" w:hAnsi="Tahoma"/>
                      <w:color w:val="0d0d0d"/>
                      <w:sz w:val="18"/>
                      <w:szCs w:val="18"/>
                      <w:rtl w:val="0"/>
                    </w:rPr>
                    <w:t xml:space="preserve">31%</w:t>
                  </w:r>
                </w:p>
              </w:tc>
            </w:tr>
            <w:tr>
              <w:trPr>
                <w:cantSplit w:val="0"/>
                <w:tblHeader w:val="0"/>
              </w:trPr>
              <w:tc>
                <w:tcPr>
                  <w:shd w:fill="cccccc" w:val="clear"/>
                  <w:tcMar>
                    <w:top w:w="100.0" w:type="dxa"/>
                    <w:left w:w="100.0" w:type="dxa"/>
                    <w:bottom w:w="100.0" w:type="dxa"/>
                    <w:right w:w="100.0" w:type="dxa"/>
                  </w:tcM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after="0" w:line="240" w:lineRule="auto"/>
                    <w:rPr>
                      <w:rFonts w:ascii="Tahoma" w:cs="Tahoma" w:eastAsia="Tahoma" w:hAnsi="Tahoma"/>
                      <w:color w:val="0d0d0d"/>
                      <w:sz w:val="18"/>
                      <w:szCs w:val="18"/>
                    </w:rPr>
                  </w:pPr>
                  <w:r w:rsidDel="00000000" w:rsidR="00000000" w:rsidRPr="00000000">
                    <w:rPr>
                      <w:rFonts w:ascii="Tahoma" w:cs="Tahoma" w:eastAsia="Tahoma" w:hAnsi="Tahoma"/>
                      <w:color w:val="0d0d0d"/>
                      <w:sz w:val="18"/>
                      <w:szCs w:val="18"/>
                      <w:rtl w:val="0"/>
                    </w:rPr>
                    <w:t xml:space="preserve">Year 4</w:t>
                  </w:r>
                </w:p>
              </w:tc>
              <w:tc>
                <w:tcPr>
                  <w:shd w:fill="auto" w:val="clear"/>
                  <w:tcMar>
                    <w:top w:w="100.0" w:type="dxa"/>
                    <w:left w:w="100.0" w:type="dxa"/>
                    <w:bottom w:w="100.0" w:type="dxa"/>
                    <w:right w:w="100.0" w:type="dxa"/>
                  </w:tcMar>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after="0" w:line="240" w:lineRule="auto"/>
                    <w:rPr>
                      <w:rFonts w:ascii="Tahoma" w:cs="Tahoma" w:eastAsia="Tahoma" w:hAnsi="Tahoma"/>
                      <w:color w:val="0d0d0d"/>
                      <w:sz w:val="18"/>
                      <w:szCs w:val="18"/>
                    </w:rPr>
                  </w:pPr>
                  <w:r w:rsidDel="00000000" w:rsidR="00000000" w:rsidRPr="00000000">
                    <w:rPr>
                      <w:rFonts w:ascii="Tahoma" w:cs="Tahoma" w:eastAsia="Tahoma" w:hAnsi="Tahoma"/>
                      <w:color w:val="0d0d0d"/>
                      <w:sz w:val="18"/>
                      <w:szCs w:val="18"/>
                      <w:rtl w:val="0"/>
                    </w:rPr>
                    <w:t xml:space="preserve">25%</w:t>
                  </w:r>
                </w:p>
              </w:tc>
              <w:tc>
                <w:tcPr>
                  <w:shd w:fill="auto" w:val="clea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after="0" w:line="240" w:lineRule="auto"/>
                    <w:rPr>
                      <w:rFonts w:ascii="Tahoma" w:cs="Tahoma" w:eastAsia="Tahoma" w:hAnsi="Tahoma"/>
                      <w:color w:val="0d0d0d"/>
                      <w:sz w:val="18"/>
                      <w:szCs w:val="18"/>
                    </w:rPr>
                  </w:pPr>
                  <w:r w:rsidDel="00000000" w:rsidR="00000000" w:rsidRPr="00000000">
                    <w:rPr>
                      <w:rFonts w:ascii="Tahoma" w:cs="Tahoma" w:eastAsia="Tahoma" w:hAnsi="Tahoma"/>
                      <w:color w:val="0d0d0d"/>
                      <w:sz w:val="18"/>
                      <w:szCs w:val="18"/>
                      <w:rtl w:val="0"/>
                    </w:rPr>
                    <w:t xml:space="preserve">74%</w:t>
                  </w:r>
                </w:p>
              </w:tc>
              <w:tc>
                <w:tcPr>
                  <w:shd w:fill="auto" w:val="clea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after="0" w:line="240" w:lineRule="auto"/>
                    <w:rPr>
                      <w:rFonts w:ascii="Tahoma" w:cs="Tahoma" w:eastAsia="Tahoma" w:hAnsi="Tahoma"/>
                      <w:color w:val="0d0d0d"/>
                      <w:sz w:val="18"/>
                      <w:szCs w:val="18"/>
                    </w:rPr>
                  </w:pPr>
                  <w:r w:rsidDel="00000000" w:rsidR="00000000" w:rsidRPr="00000000">
                    <w:rPr>
                      <w:rFonts w:ascii="Tahoma" w:cs="Tahoma" w:eastAsia="Tahoma" w:hAnsi="Tahoma"/>
                      <w:color w:val="0d0d0d"/>
                      <w:sz w:val="18"/>
                      <w:szCs w:val="18"/>
                      <w:rtl w:val="0"/>
                    </w:rPr>
                    <w:t xml:space="preserve">11%</w:t>
                  </w:r>
                </w:p>
              </w:tc>
            </w:tr>
            <w:tr>
              <w:trPr>
                <w:cantSplit w:val="0"/>
                <w:tblHeader w:val="0"/>
              </w:trPr>
              <w:tc>
                <w:tcPr>
                  <w:shd w:fill="cccccc" w:val="clear"/>
                  <w:tcMar>
                    <w:top w:w="100.0" w:type="dxa"/>
                    <w:left w:w="100.0" w:type="dxa"/>
                    <w:bottom w:w="100.0" w:type="dxa"/>
                    <w:right w:w="10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after="0" w:line="240" w:lineRule="auto"/>
                    <w:rPr>
                      <w:rFonts w:ascii="Tahoma" w:cs="Tahoma" w:eastAsia="Tahoma" w:hAnsi="Tahoma"/>
                      <w:color w:val="0d0d0d"/>
                      <w:sz w:val="18"/>
                      <w:szCs w:val="18"/>
                    </w:rPr>
                  </w:pPr>
                  <w:r w:rsidDel="00000000" w:rsidR="00000000" w:rsidRPr="00000000">
                    <w:rPr>
                      <w:rFonts w:ascii="Tahoma" w:cs="Tahoma" w:eastAsia="Tahoma" w:hAnsi="Tahoma"/>
                      <w:color w:val="0d0d0d"/>
                      <w:sz w:val="18"/>
                      <w:szCs w:val="18"/>
                      <w:rtl w:val="0"/>
                    </w:rPr>
                    <w:t xml:space="preserve">Year 5</w:t>
                  </w:r>
                </w:p>
              </w:tc>
              <w:tc>
                <w:tcPr>
                  <w:shd w:fill="auto" w:val="clea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after="0" w:line="240" w:lineRule="auto"/>
                    <w:rPr>
                      <w:rFonts w:ascii="Tahoma" w:cs="Tahoma" w:eastAsia="Tahoma" w:hAnsi="Tahoma"/>
                      <w:color w:val="0d0d0d"/>
                      <w:sz w:val="18"/>
                      <w:szCs w:val="18"/>
                    </w:rPr>
                  </w:pPr>
                  <w:r w:rsidDel="00000000" w:rsidR="00000000" w:rsidRPr="00000000">
                    <w:rPr>
                      <w:rFonts w:ascii="Tahoma" w:cs="Tahoma" w:eastAsia="Tahoma" w:hAnsi="Tahoma"/>
                      <w:color w:val="0d0d0d"/>
                      <w:sz w:val="18"/>
                      <w:szCs w:val="18"/>
                      <w:rtl w:val="0"/>
                    </w:rPr>
                    <w:t xml:space="preserve">26%</w:t>
                  </w:r>
                </w:p>
              </w:tc>
              <w:tc>
                <w:tcPr>
                  <w:shd w:fill="auto" w:val="clear"/>
                  <w:tcMar>
                    <w:top w:w="100.0" w:type="dxa"/>
                    <w:left w:w="100.0" w:type="dxa"/>
                    <w:bottom w:w="100.0" w:type="dxa"/>
                    <w:right w:w="100.0" w:type="dxa"/>
                  </w:tcM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after="0" w:line="240" w:lineRule="auto"/>
                    <w:rPr>
                      <w:rFonts w:ascii="Tahoma" w:cs="Tahoma" w:eastAsia="Tahoma" w:hAnsi="Tahoma"/>
                      <w:color w:val="0d0d0d"/>
                      <w:sz w:val="18"/>
                      <w:szCs w:val="18"/>
                    </w:rPr>
                  </w:pPr>
                  <w:r w:rsidDel="00000000" w:rsidR="00000000" w:rsidRPr="00000000">
                    <w:rPr>
                      <w:rFonts w:ascii="Tahoma" w:cs="Tahoma" w:eastAsia="Tahoma" w:hAnsi="Tahoma"/>
                      <w:color w:val="0d0d0d"/>
                      <w:sz w:val="18"/>
                      <w:szCs w:val="18"/>
                      <w:rtl w:val="0"/>
                    </w:rPr>
                    <w:t xml:space="preserve">67%</w:t>
                  </w:r>
                </w:p>
              </w:tc>
              <w:tc>
                <w:tcPr>
                  <w:shd w:fill="auto" w:val="clear"/>
                  <w:tcMar>
                    <w:top w:w="100.0" w:type="dxa"/>
                    <w:left w:w="100.0" w:type="dxa"/>
                    <w:bottom w:w="100.0" w:type="dxa"/>
                    <w:right w:w="100.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after="0" w:line="240" w:lineRule="auto"/>
                    <w:rPr>
                      <w:rFonts w:ascii="Tahoma" w:cs="Tahoma" w:eastAsia="Tahoma" w:hAnsi="Tahoma"/>
                      <w:color w:val="0d0d0d"/>
                      <w:sz w:val="18"/>
                      <w:szCs w:val="18"/>
                    </w:rPr>
                  </w:pPr>
                  <w:r w:rsidDel="00000000" w:rsidR="00000000" w:rsidRPr="00000000">
                    <w:rPr>
                      <w:rFonts w:ascii="Tahoma" w:cs="Tahoma" w:eastAsia="Tahoma" w:hAnsi="Tahoma"/>
                      <w:color w:val="0d0d0d"/>
                      <w:sz w:val="18"/>
                      <w:szCs w:val="18"/>
                      <w:rtl w:val="0"/>
                    </w:rPr>
                    <w:t xml:space="preserve">0%</w:t>
                  </w:r>
                </w:p>
              </w:tc>
            </w:tr>
            <w:tr>
              <w:trPr>
                <w:cantSplit w:val="0"/>
                <w:tblHeader w:val="0"/>
              </w:trPr>
              <w:tc>
                <w:tcPr>
                  <w:shd w:fill="cccccc" w:val="clear"/>
                  <w:tcMar>
                    <w:top w:w="100.0" w:type="dxa"/>
                    <w:left w:w="100.0" w:type="dxa"/>
                    <w:bottom w:w="100.0" w:type="dxa"/>
                    <w:right w:w="100.0" w:type="dxa"/>
                  </w:tcMa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after="0" w:line="240" w:lineRule="auto"/>
                    <w:rPr>
                      <w:rFonts w:ascii="Tahoma" w:cs="Tahoma" w:eastAsia="Tahoma" w:hAnsi="Tahoma"/>
                      <w:color w:val="0d0d0d"/>
                      <w:sz w:val="18"/>
                      <w:szCs w:val="18"/>
                    </w:rPr>
                  </w:pPr>
                  <w:r w:rsidDel="00000000" w:rsidR="00000000" w:rsidRPr="00000000">
                    <w:rPr>
                      <w:rFonts w:ascii="Tahoma" w:cs="Tahoma" w:eastAsia="Tahoma" w:hAnsi="Tahoma"/>
                      <w:color w:val="0d0d0d"/>
                      <w:sz w:val="18"/>
                      <w:szCs w:val="18"/>
                      <w:rtl w:val="0"/>
                    </w:rPr>
                    <w:t xml:space="preserve">Year 6</w:t>
                  </w:r>
                </w:p>
              </w:tc>
              <w:tc>
                <w:tcPr>
                  <w:shd w:fill="auto" w:val="clea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after="0" w:line="240" w:lineRule="auto"/>
                    <w:rPr>
                      <w:rFonts w:ascii="Tahoma" w:cs="Tahoma" w:eastAsia="Tahoma" w:hAnsi="Tahoma"/>
                      <w:color w:val="0d0d0d"/>
                      <w:sz w:val="18"/>
                      <w:szCs w:val="18"/>
                    </w:rPr>
                  </w:pPr>
                  <w:r w:rsidDel="00000000" w:rsidR="00000000" w:rsidRPr="00000000">
                    <w:rPr>
                      <w:rFonts w:ascii="Tahoma" w:cs="Tahoma" w:eastAsia="Tahoma" w:hAnsi="Tahoma"/>
                      <w:color w:val="0d0d0d"/>
                      <w:sz w:val="18"/>
                      <w:szCs w:val="18"/>
                      <w:rtl w:val="0"/>
                    </w:rPr>
                    <w:t xml:space="preserve">21%</w:t>
                  </w:r>
                </w:p>
              </w:tc>
              <w:tc>
                <w:tcPr>
                  <w:shd w:fill="auto" w:val="clear"/>
                  <w:tcMar>
                    <w:top w:w="100.0" w:type="dxa"/>
                    <w:left w:w="100.0" w:type="dxa"/>
                    <w:bottom w:w="100.0" w:type="dxa"/>
                    <w:right w:w="100.0" w:type="dxa"/>
                  </w:tcMar>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after="0" w:line="240" w:lineRule="auto"/>
                    <w:rPr>
                      <w:rFonts w:ascii="Tahoma" w:cs="Tahoma" w:eastAsia="Tahoma" w:hAnsi="Tahoma"/>
                      <w:color w:val="0d0d0d"/>
                      <w:sz w:val="18"/>
                      <w:szCs w:val="18"/>
                    </w:rPr>
                  </w:pPr>
                  <w:r w:rsidDel="00000000" w:rsidR="00000000" w:rsidRPr="00000000">
                    <w:rPr>
                      <w:rFonts w:ascii="Tahoma" w:cs="Tahoma" w:eastAsia="Tahoma" w:hAnsi="Tahoma"/>
                      <w:color w:val="0d0d0d"/>
                      <w:sz w:val="18"/>
                      <w:szCs w:val="18"/>
                      <w:rtl w:val="0"/>
                    </w:rPr>
                    <w:t xml:space="preserve">69%</w:t>
                  </w:r>
                </w:p>
              </w:tc>
              <w:tc>
                <w:tcPr>
                  <w:shd w:fill="auto" w:val="clear"/>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after="0" w:line="240" w:lineRule="auto"/>
                    <w:rPr>
                      <w:rFonts w:ascii="Tahoma" w:cs="Tahoma" w:eastAsia="Tahoma" w:hAnsi="Tahoma"/>
                      <w:color w:val="0d0d0d"/>
                      <w:sz w:val="18"/>
                      <w:szCs w:val="18"/>
                    </w:rPr>
                  </w:pPr>
                  <w:r w:rsidDel="00000000" w:rsidR="00000000" w:rsidRPr="00000000">
                    <w:rPr>
                      <w:rFonts w:ascii="Tahoma" w:cs="Tahoma" w:eastAsia="Tahoma" w:hAnsi="Tahoma"/>
                      <w:color w:val="0d0d0d"/>
                      <w:sz w:val="18"/>
                      <w:szCs w:val="18"/>
                      <w:rtl w:val="0"/>
                    </w:rPr>
                    <w:t xml:space="preserve">25%</w:t>
                  </w:r>
                </w:p>
              </w:tc>
            </w:tr>
          </w:tbl>
          <w:p w:rsidR="00000000" w:rsidDel="00000000" w:rsidP="00000000" w:rsidRDefault="00000000" w:rsidRPr="00000000" w14:paraId="00000030">
            <w:pPr>
              <w:spacing w:after="1" w:line="286" w:lineRule="auto"/>
              <w:ind w:right="58"/>
              <w:rPr/>
            </w:pPr>
            <w:r w:rsidDel="00000000" w:rsidR="00000000" w:rsidRPr="00000000">
              <w:rPr>
                <w:rtl w:val="0"/>
              </w:rPr>
            </w:r>
          </w:p>
          <w:p w:rsidR="00000000" w:rsidDel="00000000" w:rsidP="00000000" w:rsidRDefault="00000000" w:rsidRPr="00000000" w14:paraId="00000031">
            <w:pPr>
              <w:spacing w:after="1" w:line="286" w:lineRule="auto"/>
              <w:ind w:right="58"/>
              <w:rPr/>
            </w:pPr>
            <w:r w:rsidDel="00000000" w:rsidR="00000000" w:rsidRPr="00000000">
              <w:rPr/>
              <w:drawing>
                <wp:inline distB="114300" distT="114300" distL="114300" distR="114300">
                  <wp:extent cx="4143375" cy="25273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143375" cy="25273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32">
      <w:pPr>
        <w:spacing w:after="0" w:lineRule="auto"/>
        <w:ind w:left="-1133" w:right="10630" w:firstLine="0"/>
        <w:rPr>
          <w:color w:val="000000"/>
        </w:rPr>
      </w:pPr>
      <w:r w:rsidDel="00000000" w:rsidR="00000000" w:rsidRPr="00000000">
        <w:rPr>
          <w:rtl w:val="0"/>
        </w:rPr>
      </w:r>
    </w:p>
    <w:tbl>
      <w:tblPr>
        <w:tblStyle w:val="Table4"/>
        <w:tblW w:w="977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6805"/>
        <w:tblGridChange w:id="0">
          <w:tblGrid>
            <w:gridCol w:w="2972"/>
            <w:gridCol w:w="6805"/>
          </w:tblGrid>
        </w:tblGridChange>
      </w:tblGrid>
      <w:tr>
        <w:trPr>
          <w:cantSplit w:val="0"/>
          <w:trHeight w:val="3492" w:hRule="atLeast"/>
          <w:tblHeader w:val="0"/>
        </w:trPr>
        <w:tc>
          <w:tcPr/>
          <w:p w:rsidR="00000000" w:rsidDel="00000000" w:rsidP="00000000" w:rsidRDefault="00000000" w:rsidRPr="00000000" w14:paraId="00000033">
            <w:pPr>
              <w:spacing w:after="242" w:lineRule="auto"/>
              <w:rPr>
                <w:rFonts w:ascii="Tahoma" w:cs="Tahoma" w:eastAsia="Tahoma" w:hAnsi="Tahoma"/>
                <w:color w:val="0d0d0d"/>
                <w:sz w:val="18"/>
                <w:szCs w:val="18"/>
              </w:rPr>
            </w:pPr>
            <w:r w:rsidDel="00000000" w:rsidR="00000000" w:rsidRPr="00000000">
              <w:rPr>
                <w:rFonts w:ascii="Tahoma" w:cs="Tahoma" w:eastAsia="Tahoma" w:hAnsi="Tahoma"/>
                <w:color w:val="0d0d0d"/>
                <w:sz w:val="18"/>
                <w:szCs w:val="18"/>
                <w:rtl w:val="0"/>
              </w:rPr>
              <w:t xml:space="preserve">Disadvantaged pupils have made expected progress or better in Arithmetic during 2022-23. This is evidenced through termly summative NTS assessment data. A wide range of effective resources and levels of support have been implemented consistently throughout the year, including the use of bespoke support plans, catch up Maths programmes, daily fluency work, Times Tables Rock Stars, Arithmetic assessments with targeted follow up teaching and learning.</w:t>
            </w:r>
          </w:p>
        </w:tc>
        <w:tc>
          <w:tcPr/>
          <w:p w:rsidR="00000000" w:rsidDel="00000000" w:rsidP="00000000" w:rsidRDefault="00000000" w:rsidRPr="00000000" w14:paraId="00000034">
            <w:pPr>
              <w:spacing w:after="242" w:line="284" w:lineRule="auto"/>
              <w:rPr>
                <w:rFonts w:ascii="Tahoma" w:cs="Tahoma" w:eastAsia="Tahoma" w:hAnsi="Tahoma"/>
                <w:color w:val="0d0d0d"/>
                <w:sz w:val="18"/>
                <w:szCs w:val="18"/>
              </w:rPr>
            </w:pPr>
            <w:r w:rsidDel="00000000" w:rsidR="00000000" w:rsidRPr="00000000">
              <w:rPr>
                <w:rFonts w:ascii="Tahoma" w:cs="Tahoma" w:eastAsia="Tahoma" w:hAnsi="Tahoma"/>
                <w:color w:val="0d0d0d"/>
                <w:sz w:val="18"/>
                <w:szCs w:val="18"/>
                <w:rtl w:val="0"/>
              </w:rPr>
              <w:t xml:space="preserve">*During 2022-2023, TAs delivered the Catch Up Maths programmes; this programme was delivered to 90 children across Y3, Y4, Y5, Y6.</w:t>
            </w:r>
          </w:p>
          <w:p w:rsidR="00000000" w:rsidDel="00000000" w:rsidP="00000000" w:rsidRDefault="00000000" w:rsidRPr="00000000" w14:paraId="00000035">
            <w:pPr>
              <w:spacing w:after="242" w:line="284" w:lineRule="auto"/>
              <w:rPr>
                <w:color w:val="000000"/>
              </w:rPr>
            </w:pPr>
            <w:r w:rsidDel="00000000" w:rsidR="00000000" w:rsidRPr="00000000">
              <w:rPr>
                <w:rFonts w:ascii="Tahoma" w:cs="Tahoma" w:eastAsia="Tahoma" w:hAnsi="Tahoma"/>
                <w:color w:val="0d0d0d"/>
                <w:sz w:val="18"/>
                <w:szCs w:val="18"/>
                <w:rtl w:val="0"/>
              </w:rPr>
              <w:t xml:space="preserve">*Bespoke CPD has been provided by the Maths Hub and from across the MAT to support the development of Arithmetic LTP’s and the use of fluency programmes</w:t>
            </w:r>
            <w:r w:rsidDel="00000000" w:rsidR="00000000" w:rsidRPr="00000000">
              <w:rPr>
                <w:rtl w:val="0"/>
              </w:rPr>
            </w:r>
          </w:p>
          <w:p w:rsidR="00000000" w:rsidDel="00000000" w:rsidP="00000000" w:rsidRDefault="00000000" w:rsidRPr="00000000" w14:paraId="00000036">
            <w:pPr>
              <w:spacing w:after="238" w:line="287" w:lineRule="auto"/>
              <w:ind w:right="14"/>
              <w:jc w:val="both"/>
              <w:rPr>
                <w:rFonts w:ascii="Tahoma" w:cs="Tahoma" w:eastAsia="Tahoma" w:hAnsi="Tahoma"/>
                <w:color w:val="0d0d0d"/>
                <w:sz w:val="18"/>
                <w:szCs w:val="18"/>
              </w:rPr>
            </w:pPr>
            <w:r w:rsidDel="00000000" w:rsidR="00000000" w:rsidRPr="00000000">
              <w:rPr>
                <w:rtl w:val="0"/>
              </w:rPr>
            </w:r>
          </w:p>
        </w:tc>
      </w:tr>
      <w:tr>
        <w:trPr>
          <w:cantSplit w:val="0"/>
          <w:trHeight w:val="3492" w:hRule="atLeast"/>
          <w:tblHeader w:val="0"/>
        </w:trPr>
        <w:tc>
          <w:tcPr/>
          <w:p w:rsidR="00000000" w:rsidDel="00000000" w:rsidP="00000000" w:rsidRDefault="00000000" w:rsidRPr="00000000" w14:paraId="00000037">
            <w:pPr>
              <w:ind w:right="63"/>
              <w:rPr>
                <w:color w:val="000000"/>
              </w:rPr>
            </w:pPr>
            <w:r w:rsidDel="00000000" w:rsidR="00000000" w:rsidRPr="00000000">
              <w:rPr>
                <w:rFonts w:ascii="Tahoma" w:cs="Tahoma" w:eastAsia="Tahoma" w:hAnsi="Tahoma"/>
                <w:color w:val="0d0d0d"/>
                <w:sz w:val="18"/>
                <w:szCs w:val="18"/>
                <w:rtl w:val="0"/>
              </w:rPr>
              <w:t xml:space="preserve">As a result of having access to additional resources and support, disadvantaged pupils are supported to overcome any issues relating to mental health, resilience and well-being. This is demonstrated through feedback from mentors, pupil questionnaires, pupil voice meetings and questionnaires, improved levels of attendance and Boxall / SDQ profiling. </w:t>
            </w:r>
            <w:r w:rsidDel="00000000" w:rsidR="00000000" w:rsidRPr="00000000">
              <w:rPr>
                <w:rtl w:val="0"/>
              </w:rPr>
            </w:r>
          </w:p>
        </w:tc>
        <w:tc>
          <w:tcPr/>
          <w:p w:rsidR="00000000" w:rsidDel="00000000" w:rsidP="00000000" w:rsidRDefault="00000000" w:rsidRPr="00000000" w14:paraId="00000038">
            <w:pPr>
              <w:numPr>
                <w:ilvl w:val="0"/>
                <w:numId w:val="1"/>
              </w:numPr>
              <w:spacing w:line="287" w:lineRule="auto"/>
              <w:ind w:left="470" w:right="14" w:hanging="360"/>
              <w:jc w:val="both"/>
              <w:rPr>
                <w:color w:val="000000"/>
              </w:rPr>
            </w:pPr>
            <w:r w:rsidDel="00000000" w:rsidR="00000000" w:rsidRPr="00000000">
              <w:rPr>
                <w:rFonts w:ascii="Tahoma" w:cs="Tahoma" w:eastAsia="Tahoma" w:hAnsi="Tahoma"/>
                <w:color w:val="0d0d0d"/>
                <w:sz w:val="18"/>
                <w:szCs w:val="18"/>
                <w:rtl w:val="0"/>
              </w:rPr>
              <w:t xml:space="preserve">Pupils across all year groups received additional programmes of lessons to support with positive mental health, resilience, independence and confidence as part of Quality First Teaching</w:t>
            </w:r>
            <w:r w:rsidDel="00000000" w:rsidR="00000000" w:rsidRPr="00000000">
              <w:rPr>
                <w:rtl w:val="0"/>
              </w:rPr>
            </w:r>
          </w:p>
          <w:p w:rsidR="00000000" w:rsidDel="00000000" w:rsidP="00000000" w:rsidRDefault="00000000" w:rsidRPr="00000000" w14:paraId="00000039">
            <w:pPr>
              <w:spacing w:line="287" w:lineRule="auto"/>
              <w:ind w:left="470" w:right="14" w:firstLine="0"/>
              <w:jc w:val="both"/>
              <w:rPr>
                <w:rFonts w:ascii="Tahoma" w:cs="Tahoma" w:eastAsia="Tahoma" w:hAnsi="Tahoma"/>
                <w:color w:val="0d0d0d"/>
                <w:sz w:val="18"/>
                <w:szCs w:val="18"/>
              </w:rPr>
            </w:pPr>
            <w:r w:rsidDel="00000000" w:rsidR="00000000" w:rsidRPr="00000000">
              <w:rPr>
                <w:rtl w:val="0"/>
              </w:rPr>
            </w:r>
          </w:p>
          <w:p w:rsidR="00000000" w:rsidDel="00000000" w:rsidP="00000000" w:rsidRDefault="00000000" w:rsidRPr="00000000" w14:paraId="0000003A">
            <w:pPr>
              <w:numPr>
                <w:ilvl w:val="0"/>
                <w:numId w:val="1"/>
              </w:numPr>
              <w:ind w:left="470" w:right="14" w:hanging="360"/>
              <w:jc w:val="both"/>
              <w:rPr>
                <w:color w:val="000000"/>
              </w:rPr>
            </w:pPr>
            <w:r w:rsidDel="00000000" w:rsidR="00000000" w:rsidRPr="00000000">
              <w:rPr>
                <w:rFonts w:ascii="Tahoma" w:cs="Tahoma" w:eastAsia="Tahoma" w:hAnsi="Tahoma"/>
                <w:color w:val="0d0d0d"/>
                <w:sz w:val="18"/>
                <w:szCs w:val="18"/>
                <w:rtl w:val="0"/>
              </w:rPr>
              <w:t xml:space="preserve">A Pastoral Teaching assistant, qualified in Mental Health first aid, was appointed to support all pupils, and especially those who are disadvantaged, to access programmes and 1-1 sessions for ensuring positive mental health and well being. </w:t>
            </w:r>
            <w:r w:rsidDel="00000000" w:rsidR="00000000" w:rsidRPr="00000000">
              <w:rPr>
                <w:rtl w:val="0"/>
              </w:rPr>
            </w:r>
          </w:p>
          <w:p w:rsidR="00000000" w:rsidDel="00000000" w:rsidP="00000000" w:rsidRDefault="00000000" w:rsidRPr="00000000" w14:paraId="0000003B">
            <w:pPr>
              <w:ind w:right="14"/>
              <w:jc w:val="both"/>
              <w:rPr>
                <w:rFonts w:ascii="Tahoma" w:cs="Tahoma" w:eastAsia="Tahoma" w:hAnsi="Tahoma"/>
                <w:color w:val="0d0d0d"/>
                <w:sz w:val="18"/>
                <w:szCs w:val="18"/>
              </w:rPr>
            </w:pPr>
            <w:r w:rsidDel="00000000" w:rsidR="00000000" w:rsidRPr="00000000">
              <w:rPr>
                <w:rtl w:val="0"/>
              </w:rPr>
            </w:r>
          </w:p>
          <w:p w:rsidR="00000000" w:rsidDel="00000000" w:rsidP="00000000" w:rsidRDefault="00000000" w:rsidRPr="00000000" w14:paraId="0000003C">
            <w:pPr>
              <w:numPr>
                <w:ilvl w:val="0"/>
                <w:numId w:val="1"/>
              </w:numPr>
              <w:ind w:left="470" w:right="14" w:hanging="360"/>
              <w:jc w:val="both"/>
              <w:rPr>
                <w:color w:val="000000"/>
              </w:rPr>
            </w:pPr>
            <w:r w:rsidDel="00000000" w:rsidR="00000000" w:rsidRPr="00000000">
              <w:rPr>
                <w:rFonts w:ascii="Tahoma" w:cs="Tahoma" w:eastAsia="Tahoma" w:hAnsi="Tahoma"/>
                <w:color w:val="0d0d0d"/>
                <w:sz w:val="18"/>
                <w:szCs w:val="18"/>
                <w:rtl w:val="0"/>
              </w:rPr>
              <w:t xml:space="preserve">A key aspect of school improvement during 2022-23 has focused on attendance and persistent absence. SA whole school strategy has been successful in </w:t>
            </w:r>
            <w:r w:rsidDel="00000000" w:rsidR="00000000" w:rsidRPr="00000000">
              <w:rPr>
                <w:rtl w:val="0"/>
              </w:rPr>
            </w:r>
          </w:p>
          <w:p w:rsidR="00000000" w:rsidDel="00000000" w:rsidP="00000000" w:rsidRDefault="00000000" w:rsidRPr="00000000" w14:paraId="0000003D">
            <w:pPr>
              <w:ind w:left="470" w:right="14" w:firstLine="0"/>
              <w:jc w:val="both"/>
              <w:rPr>
                <w:rFonts w:ascii="Tahoma" w:cs="Tahoma" w:eastAsia="Tahoma" w:hAnsi="Tahoma"/>
                <w:color w:val="0d0d0d"/>
                <w:sz w:val="18"/>
                <w:szCs w:val="18"/>
              </w:rPr>
            </w:pPr>
            <w:r w:rsidDel="00000000" w:rsidR="00000000" w:rsidRPr="00000000">
              <w:rPr>
                <w:rtl w:val="0"/>
              </w:rPr>
            </w:r>
          </w:p>
          <w:p w:rsidR="00000000" w:rsidDel="00000000" w:rsidP="00000000" w:rsidRDefault="00000000" w:rsidRPr="00000000" w14:paraId="0000003E">
            <w:pPr>
              <w:numPr>
                <w:ilvl w:val="0"/>
                <w:numId w:val="1"/>
              </w:numPr>
              <w:ind w:left="470" w:right="14" w:hanging="360"/>
              <w:jc w:val="both"/>
              <w:rPr>
                <w:rFonts w:ascii="Tahoma" w:cs="Tahoma" w:eastAsia="Tahoma" w:hAnsi="Tahoma"/>
                <w:color w:val="0d0d0d"/>
                <w:sz w:val="18"/>
                <w:szCs w:val="18"/>
              </w:rPr>
            </w:pPr>
            <w:r w:rsidDel="00000000" w:rsidR="00000000" w:rsidRPr="00000000">
              <w:rPr>
                <w:rFonts w:ascii="Tahoma" w:cs="Tahoma" w:eastAsia="Tahoma" w:hAnsi="Tahoma"/>
                <w:color w:val="0d0d0d"/>
                <w:sz w:val="18"/>
                <w:szCs w:val="18"/>
                <w:rtl w:val="0"/>
              </w:rPr>
              <w:t xml:space="preserve">A weekly Forest School session has taken place and pupils invited to attend</w:t>
            </w:r>
          </w:p>
          <w:p w:rsidR="00000000" w:rsidDel="00000000" w:rsidP="00000000" w:rsidRDefault="00000000" w:rsidRPr="00000000" w14:paraId="0000003F">
            <w:pPr>
              <w:ind w:left="470" w:right="14" w:firstLine="0"/>
              <w:jc w:val="both"/>
              <w:rPr>
                <w:rFonts w:ascii="Tahoma" w:cs="Tahoma" w:eastAsia="Tahoma" w:hAnsi="Tahoma"/>
                <w:color w:val="0d0d0d"/>
                <w:sz w:val="18"/>
                <w:szCs w:val="18"/>
              </w:rPr>
            </w:pPr>
            <w:r w:rsidDel="00000000" w:rsidR="00000000" w:rsidRPr="00000000">
              <w:rPr>
                <w:rFonts w:ascii="Tahoma" w:cs="Tahoma" w:eastAsia="Tahoma" w:hAnsi="Tahoma"/>
                <w:color w:val="0d0d0d"/>
                <w:sz w:val="18"/>
                <w:szCs w:val="18"/>
                <w:rtl w:val="0"/>
              </w:rPr>
              <w:t xml:space="preserve"> </w:t>
            </w:r>
          </w:p>
          <w:p w:rsidR="00000000" w:rsidDel="00000000" w:rsidP="00000000" w:rsidRDefault="00000000" w:rsidRPr="00000000" w14:paraId="00000040">
            <w:pPr>
              <w:numPr>
                <w:ilvl w:val="0"/>
                <w:numId w:val="1"/>
              </w:numPr>
              <w:ind w:left="470" w:right="14" w:hanging="360"/>
              <w:jc w:val="both"/>
              <w:rPr>
                <w:rFonts w:ascii="Tahoma" w:cs="Tahoma" w:eastAsia="Tahoma" w:hAnsi="Tahoma"/>
                <w:color w:val="0d0d0d"/>
                <w:sz w:val="18"/>
                <w:szCs w:val="18"/>
              </w:rPr>
            </w:pPr>
            <w:r w:rsidDel="00000000" w:rsidR="00000000" w:rsidRPr="00000000">
              <w:rPr>
                <w:rFonts w:ascii="Tahoma" w:cs="Tahoma" w:eastAsia="Tahoma" w:hAnsi="Tahoma"/>
                <w:color w:val="0d0d0d"/>
                <w:sz w:val="18"/>
                <w:szCs w:val="18"/>
                <w:rtl w:val="0"/>
              </w:rPr>
              <w:t xml:space="preserve">A range of external agencies and consultants have been utilised effectively to provide school staff with accurate assessment and of and provision to meet the needs of specific pupils</w:t>
            </w:r>
          </w:p>
          <w:p w:rsidR="00000000" w:rsidDel="00000000" w:rsidP="00000000" w:rsidRDefault="00000000" w:rsidRPr="00000000" w14:paraId="00000041">
            <w:pPr>
              <w:ind w:right="14"/>
              <w:jc w:val="both"/>
              <w:rPr>
                <w:rFonts w:ascii="Tahoma" w:cs="Tahoma" w:eastAsia="Tahoma" w:hAnsi="Tahoma"/>
                <w:color w:val="0d0d0d"/>
                <w:sz w:val="18"/>
                <w:szCs w:val="18"/>
              </w:rPr>
            </w:pPr>
            <w:r w:rsidDel="00000000" w:rsidR="00000000" w:rsidRPr="00000000">
              <w:rPr>
                <w:rtl w:val="0"/>
              </w:rPr>
            </w:r>
          </w:p>
        </w:tc>
      </w:tr>
      <w:tr>
        <w:trPr>
          <w:cantSplit w:val="0"/>
          <w:trHeight w:val="4201" w:hRule="atLeast"/>
          <w:tblHeader w:val="0"/>
        </w:trPr>
        <w:tc>
          <w:tcPr/>
          <w:p w:rsidR="00000000" w:rsidDel="00000000" w:rsidP="00000000" w:rsidRDefault="00000000" w:rsidRPr="00000000" w14:paraId="00000042">
            <w:pPr>
              <w:spacing w:after="238" w:lineRule="auto"/>
              <w:ind w:left="110" w:firstLine="0"/>
              <w:rPr>
                <w:color w:val="000000"/>
              </w:rPr>
            </w:pPr>
            <w:r w:rsidDel="00000000" w:rsidR="00000000" w:rsidRPr="00000000">
              <w:rPr>
                <w:rFonts w:ascii="Tahoma" w:cs="Tahoma" w:eastAsia="Tahoma" w:hAnsi="Tahoma"/>
                <w:color w:val="0d0d0d"/>
                <w:sz w:val="18"/>
                <w:szCs w:val="18"/>
                <w:rtl w:val="0"/>
              </w:rPr>
              <w:t xml:space="preserve">As a result of swift and effective intervention to tackle low levels or attendance and the underlying reasons for this, disadvantaged pupils have levels of attendance which compare favourably with attendance of non-disadvantaged pupils. </w:t>
            </w:r>
            <w:r w:rsidDel="00000000" w:rsidR="00000000" w:rsidRPr="00000000">
              <w:rPr>
                <w:rtl w:val="0"/>
              </w:rPr>
            </w:r>
          </w:p>
          <w:p w:rsidR="00000000" w:rsidDel="00000000" w:rsidP="00000000" w:rsidRDefault="00000000" w:rsidRPr="00000000" w14:paraId="00000043">
            <w:pPr>
              <w:spacing w:after="265" w:lineRule="auto"/>
              <w:ind w:left="110" w:firstLine="0"/>
              <w:rPr>
                <w:color w:val="000000"/>
              </w:rPr>
            </w:pPr>
            <w:r w:rsidDel="00000000" w:rsidR="00000000" w:rsidRPr="00000000">
              <w:rPr>
                <w:rFonts w:ascii="Tahoma" w:cs="Tahoma" w:eastAsia="Tahoma" w:hAnsi="Tahoma"/>
                <w:color w:val="0d0d0d"/>
                <w:sz w:val="18"/>
                <w:szCs w:val="18"/>
                <w:rtl w:val="0"/>
              </w:rPr>
              <w:t xml:space="preserve"> </w:t>
            </w:r>
            <w:r w:rsidDel="00000000" w:rsidR="00000000" w:rsidRPr="00000000">
              <w:rPr>
                <w:rtl w:val="0"/>
              </w:rPr>
            </w:r>
          </w:p>
          <w:p w:rsidR="00000000" w:rsidDel="00000000" w:rsidP="00000000" w:rsidRDefault="00000000" w:rsidRPr="00000000" w14:paraId="00000044">
            <w:pPr>
              <w:spacing w:after="265" w:lineRule="auto"/>
              <w:ind w:left="110" w:firstLine="0"/>
              <w:rPr>
                <w:color w:val="000000"/>
              </w:rPr>
            </w:pPr>
            <w:r w:rsidDel="00000000" w:rsidR="00000000" w:rsidRPr="00000000">
              <w:rPr>
                <w:rFonts w:ascii="Tahoma" w:cs="Tahoma" w:eastAsia="Tahoma" w:hAnsi="Tahoma"/>
                <w:color w:val="0d0d0d"/>
                <w:sz w:val="18"/>
                <w:szCs w:val="18"/>
                <w:rtl w:val="0"/>
              </w:rPr>
              <w:t xml:space="preserve"> </w:t>
            </w:r>
            <w:r w:rsidDel="00000000" w:rsidR="00000000" w:rsidRPr="00000000">
              <w:rPr>
                <w:rtl w:val="0"/>
              </w:rPr>
            </w:r>
          </w:p>
          <w:p w:rsidR="00000000" w:rsidDel="00000000" w:rsidP="00000000" w:rsidRDefault="00000000" w:rsidRPr="00000000" w14:paraId="00000045">
            <w:pPr>
              <w:spacing w:after="263" w:lineRule="auto"/>
              <w:ind w:left="110" w:firstLine="0"/>
              <w:rPr>
                <w:color w:val="000000"/>
              </w:rPr>
            </w:pPr>
            <w:r w:rsidDel="00000000" w:rsidR="00000000" w:rsidRPr="00000000">
              <w:rPr>
                <w:rFonts w:ascii="Tahoma" w:cs="Tahoma" w:eastAsia="Tahoma" w:hAnsi="Tahoma"/>
                <w:color w:val="0d0d0d"/>
                <w:sz w:val="18"/>
                <w:szCs w:val="18"/>
                <w:rtl w:val="0"/>
              </w:rPr>
              <w:t xml:space="preserve"> </w:t>
            </w:r>
            <w:r w:rsidDel="00000000" w:rsidR="00000000" w:rsidRPr="00000000">
              <w:rPr>
                <w:rtl w:val="0"/>
              </w:rPr>
            </w:r>
          </w:p>
          <w:p w:rsidR="00000000" w:rsidDel="00000000" w:rsidP="00000000" w:rsidRDefault="00000000" w:rsidRPr="00000000" w14:paraId="00000046">
            <w:pPr>
              <w:spacing w:after="265" w:lineRule="auto"/>
              <w:ind w:left="110" w:firstLine="0"/>
              <w:rPr>
                <w:color w:val="000000"/>
              </w:rPr>
            </w:pPr>
            <w:r w:rsidDel="00000000" w:rsidR="00000000" w:rsidRPr="00000000">
              <w:rPr>
                <w:rFonts w:ascii="Tahoma" w:cs="Tahoma" w:eastAsia="Tahoma" w:hAnsi="Tahoma"/>
                <w:color w:val="0d0d0d"/>
                <w:sz w:val="18"/>
                <w:szCs w:val="18"/>
                <w:rtl w:val="0"/>
              </w:rPr>
              <w:t xml:space="preserve"> </w:t>
            </w:r>
            <w:r w:rsidDel="00000000" w:rsidR="00000000" w:rsidRPr="00000000">
              <w:rPr>
                <w:rtl w:val="0"/>
              </w:rPr>
            </w:r>
          </w:p>
          <w:p w:rsidR="00000000" w:rsidDel="00000000" w:rsidP="00000000" w:rsidRDefault="00000000" w:rsidRPr="00000000" w14:paraId="00000047">
            <w:pPr>
              <w:ind w:left="110" w:firstLine="0"/>
              <w:rPr>
                <w:color w:val="000000"/>
              </w:rPr>
            </w:pPr>
            <w:r w:rsidDel="00000000" w:rsidR="00000000" w:rsidRPr="00000000">
              <w:rPr>
                <w:rFonts w:ascii="Tahoma" w:cs="Tahoma" w:eastAsia="Tahoma" w:hAnsi="Tahoma"/>
                <w:color w:val="0d0d0d"/>
                <w:sz w:val="18"/>
                <w:szCs w:val="18"/>
                <w:rtl w:val="0"/>
              </w:rPr>
              <w:t xml:space="preserve"> </w:t>
            </w:r>
            <w:r w:rsidDel="00000000" w:rsidR="00000000" w:rsidRPr="00000000">
              <w:rPr>
                <w:rtl w:val="0"/>
              </w:rPr>
            </w:r>
          </w:p>
        </w:tc>
        <w:tc>
          <w:tcPr/>
          <w:p w:rsidR="00000000" w:rsidDel="00000000" w:rsidP="00000000" w:rsidRDefault="00000000" w:rsidRPr="00000000" w14:paraId="00000048">
            <w:pPr>
              <w:numPr>
                <w:ilvl w:val="0"/>
                <w:numId w:val="3"/>
              </w:numPr>
              <w:spacing w:line="287" w:lineRule="auto"/>
              <w:ind w:left="475" w:right="57" w:hanging="360"/>
              <w:rPr>
                <w:rFonts w:ascii="Tahoma" w:cs="Tahoma" w:eastAsia="Tahoma" w:hAnsi="Tahoma"/>
                <w:color w:val="0d0d0d"/>
                <w:sz w:val="18"/>
                <w:szCs w:val="18"/>
              </w:rPr>
            </w:pPr>
            <w:r w:rsidDel="00000000" w:rsidR="00000000" w:rsidRPr="00000000">
              <w:rPr>
                <w:rFonts w:ascii="Tahoma" w:cs="Tahoma" w:eastAsia="Tahoma" w:hAnsi="Tahoma"/>
                <w:color w:val="0d0d0d"/>
                <w:sz w:val="18"/>
                <w:szCs w:val="18"/>
                <w:rtl w:val="0"/>
              </w:rPr>
              <w:t xml:space="preserve">Low attendance identified for a number of disadvantaged pupils and interventions (including daily &amp; weekly tracking systems, termly attendance letters, home visits, phone calls, attendance panel meetings, Twitter and assembly celebrations) put into place. </w:t>
            </w:r>
          </w:p>
          <w:p w:rsidR="00000000" w:rsidDel="00000000" w:rsidP="00000000" w:rsidRDefault="00000000" w:rsidRPr="00000000" w14:paraId="00000049">
            <w:pPr>
              <w:spacing w:line="287" w:lineRule="auto"/>
              <w:ind w:left="720" w:right="57" w:firstLine="0"/>
              <w:rPr>
                <w:rFonts w:ascii="Tahoma" w:cs="Tahoma" w:eastAsia="Tahoma" w:hAnsi="Tahoma"/>
                <w:color w:val="0d0d0d"/>
                <w:sz w:val="18"/>
                <w:szCs w:val="18"/>
              </w:rPr>
            </w:pPr>
            <w:r w:rsidDel="00000000" w:rsidR="00000000" w:rsidRPr="00000000">
              <w:rPr>
                <w:rFonts w:ascii="Tahoma" w:cs="Tahoma" w:eastAsia="Tahoma" w:hAnsi="Tahoma"/>
                <w:color w:val="0d0d0d"/>
                <w:sz w:val="18"/>
                <w:szCs w:val="18"/>
                <w:rtl w:val="0"/>
              </w:rPr>
              <w:t xml:space="preserve"> </w:t>
            </w:r>
          </w:p>
          <w:p w:rsidR="00000000" w:rsidDel="00000000" w:rsidP="00000000" w:rsidRDefault="00000000" w:rsidRPr="00000000" w14:paraId="0000004A">
            <w:pPr>
              <w:numPr>
                <w:ilvl w:val="0"/>
                <w:numId w:val="3"/>
              </w:numPr>
              <w:spacing w:line="287" w:lineRule="auto"/>
              <w:ind w:left="475" w:right="57" w:hanging="360"/>
              <w:rPr>
                <w:rFonts w:ascii="Tahoma" w:cs="Tahoma" w:eastAsia="Tahoma" w:hAnsi="Tahoma"/>
                <w:color w:val="0d0d0d"/>
                <w:sz w:val="18"/>
                <w:szCs w:val="18"/>
              </w:rPr>
            </w:pPr>
            <w:r w:rsidDel="00000000" w:rsidR="00000000" w:rsidRPr="00000000">
              <w:rPr>
                <w:rFonts w:ascii="Tahoma" w:cs="Tahoma" w:eastAsia="Tahoma" w:hAnsi="Tahoma"/>
                <w:color w:val="0d0d0d"/>
                <w:sz w:val="18"/>
                <w:szCs w:val="18"/>
                <w:rtl w:val="0"/>
              </w:rPr>
              <w:t xml:space="preserve">Albeit an improvement has been evidenced, attendance for disadvantaged pupils remains lower in comparison to non-disadvantaged pupils; the school has instigated the use of a range of strategies during 2023-2024 to improve this. Support from across the MAT will be accessed to ensure favourable outcomes.</w:t>
            </w:r>
          </w:p>
          <w:p w:rsidR="00000000" w:rsidDel="00000000" w:rsidP="00000000" w:rsidRDefault="00000000" w:rsidRPr="00000000" w14:paraId="0000004B">
            <w:pPr>
              <w:spacing w:line="287" w:lineRule="auto"/>
              <w:ind w:right="57"/>
              <w:rPr>
                <w:rFonts w:ascii="Tahoma" w:cs="Tahoma" w:eastAsia="Tahoma" w:hAnsi="Tahoma"/>
                <w:color w:val="0d0d0d"/>
                <w:sz w:val="18"/>
                <w:szCs w:val="18"/>
                <w:highlight w:val="yellow"/>
              </w:rPr>
            </w:pPr>
            <w:r w:rsidDel="00000000" w:rsidR="00000000" w:rsidRPr="00000000">
              <w:rPr>
                <w:rtl w:val="0"/>
              </w:rPr>
            </w:r>
          </w:p>
          <w:p w:rsidR="00000000" w:rsidDel="00000000" w:rsidP="00000000" w:rsidRDefault="00000000" w:rsidRPr="00000000" w14:paraId="0000004C">
            <w:pPr>
              <w:spacing w:line="287" w:lineRule="auto"/>
              <w:ind w:right="57"/>
              <w:rPr>
                <w:rFonts w:ascii="Tahoma" w:cs="Tahoma" w:eastAsia="Tahoma" w:hAnsi="Tahoma"/>
                <w:color w:val="0d0d0d"/>
                <w:sz w:val="18"/>
                <w:szCs w:val="18"/>
                <w:highlight w:val="yellow"/>
              </w:rPr>
            </w:pPr>
            <w:r w:rsidDel="00000000" w:rsidR="00000000" w:rsidRPr="00000000">
              <w:rPr>
                <w:rtl w:val="0"/>
              </w:rPr>
            </w:r>
          </w:p>
          <w:tbl>
            <w:tblPr>
              <w:tblStyle w:val="Table5"/>
              <w:tblW w:w="66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02.5"/>
              <w:gridCol w:w="3302.5"/>
              <w:tblGridChange w:id="0">
                <w:tblGrid>
                  <w:gridCol w:w="3302.5"/>
                  <w:gridCol w:w="330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color w:val="0d0d0d"/>
                      <w:sz w:val="18"/>
                      <w:szCs w:val="18"/>
                    </w:rPr>
                  </w:pPr>
                  <w:r w:rsidDel="00000000" w:rsidR="00000000" w:rsidRPr="00000000">
                    <w:rPr>
                      <w:rFonts w:ascii="Tahoma" w:cs="Tahoma" w:eastAsia="Tahoma" w:hAnsi="Tahoma"/>
                      <w:b w:val="1"/>
                      <w:color w:val="0d0d0d"/>
                      <w:sz w:val="18"/>
                      <w:szCs w:val="18"/>
                      <w:rtl w:val="0"/>
                    </w:rPr>
                    <w:t xml:space="preserve">Disadvantaged Pupils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color w:val="0d0d0d"/>
                      <w:sz w:val="18"/>
                      <w:szCs w:val="18"/>
                    </w:rPr>
                  </w:pPr>
                  <w:r w:rsidDel="00000000" w:rsidR="00000000" w:rsidRPr="00000000">
                    <w:rPr>
                      <w:rFonts w:ascii="Tahoma" w:cs="Tahoma" w:eastAsia="Tahoma" w:hAnsi="Tahoma"/>
                      <w:b w:val="1"/>
                      <w:color w:val="0d0d0d"/>
                      <w:sz w:val="18"/>
                      <w:szCs w:val="18"/>
                      <w:rtl w:val="0"/>
                    </w:rPr>
                    <w:t xml:space="preserve">Non-disadvantaged Pupils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spacing w:after="0" w:line="287" w:lineRule="auto"/>
                    <w:ind w:right="57"/>
                    <w:rPr>
                      <w:rFonts w:ascii="Tahoma" w:cs="Tahoma" w:eastAsia="Tahoma" w:hAnsi="Tahoma"/>
                      <w:color w:val="0d0d0d"/>
                      <w:sz w:val="18"/>
                      <w:szCs w:val="18"/>
                      <w:highlight w:val="yellow"/>
                    </w:rPr>
                  </w:pPr>
                  <w:r w:rsidDel="00000000" w:rsidR="00000000" w:rsidRPr="00000000">
                    <w:rPr>
                      <w:rFonts w:ascii="Tahoma" w:cs="Tahoma" w:eastAsia="Tahoma" w:hAnsi="Tahoma"/>
                      <w:color w:val="0d0d0d"/>
                      <w:sz w:val="18"/>
                      <w:szCs w:val="18"/>
                      <w:rtl w:val="0"/>
                    </w:rPr>
                    <w:t xml:space="preserve">2021 - 2022 - 93.3%</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spacing w:after="0" w:line="287" w:lineRule="auto"/>
                    <w:ind w:right="57"/>
                    <w:rPr>
                      <w:rFonts w:ascii="Tahoma" w:cs="Tahoma" w:eastAsia="Tahoma" w:hAnsi="Tahoma"/>
                      <w:color w:val="0d0d0d"/>
                      <w:sz w:val="18"/>
                      <w:szCs w:val="18"/>
                      <w:highlight w:val="yellow"/>
                    </w:rPr>
                  </w:pPr>
                  <w:r w:rsidDel="00000000" w:rsidR="00000000" w:rsidRPr="00000000">
                    <w:rPr>
                      <w:rFonts w:ascii="Tahoma" w:cs="Tahoma" w:eastAsia="Tahoma" w:hAnsi="Tahoma"/>
                      <w:color w:val="0d0d0d"/>
                      <w:sz w:val="18"/>
                      <w:szCs w:val="18"/>
                      <w:rtl w:val="0"/>
                    </w:rPr>
                    <w:t xml:space="preserve">2021 - 2022 - 96.1%</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spacing w:after="0" w:line="287" w:lineRule="auto"/>
                    <w:ind w:right="57"/>
                    <w:rPr>
                      <w:rFonts w:ascii="Tahoma" w:cs="Tahoma" w:eastAsia="Tahoma" w:hAnsi="Tahoma"/>
                      <w:color w:val="0d0d0d"/>
                      <w:sz w:val="18"/>
                      <w:szCs w:val="18"/>
                    </w:rPr>
                  </w:pPr>
                  <w:r w:rsidDel="00000000" w:rsidR="00000000" w:rsidRPr="00000000">
                    <w:rPr>
                      <w:rtl w:val="0"/>
                    </w:rPr>
                  </w:r>
                </w:p>
                <w:p w:rsidR="00000000" w:rsidDel="00000000" w:rsidP="00000000" w:rsidRDefault="00000000" w:rsidRPr="00000000" w14:paraId="00000052">
                  <w:pPr>
                    <w:spacing w:after="0" w:line="287" w:lineRule="auto"/>
                    <w:ind w:right="57"/>
                    <w:rPr>
                      <w:rFonts w:ascii="Tahoma" w:cs="Tahoma" w:eastAsia="Tahoma" w:hAnsi="Tahoma"/>
                      <w:color w:val="0d0d0d"/>
                      <w:sz w:val="18"/>
                      <w:szCs w:val="18"/>
                    </w:rPr>
                  </w:pPr>
                  <w:r w:rsidDel="00000000" w:rsidR="00000000" w:rsidRPr="00000000">
                    <w:rPr>
                      <w:rFonts w:ascii="Tahoma" w:cs="Tahoma" w:eastAsia="Tahoma" w:hAnsi="Tahoma"/>
                      <w:color w:val="0d0d0d"/>
                      <w:sz w:val="18"/>
                      <w:szCs w:val="18"/>
                      <w:rtl w:val="0"/>
                    </w:rPr>
                    <w:t xml:space="preserve">2022-2023 - 93.4%</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spacing w:after="0" w:line="287" w:lineRule="auto"/>
                    <w:ind w:right="57"/>
                    <w:rPr>
                      <w:rFonts w:ascii="Tahoma" w:cs="Tahoma" w:eastAsia="Tahoma" w:hAnsi="Tahoma"/>
                      <w:color w:val="0d0d0d"/>
                      <w:sz w:val="18"/>
                      <w:szCs w:val="18"/>
                    </w:rPr>
                  </w:pPr>
                  <w:r w:rsidDel="00000000" w:rsidR="00000000" w:rsidRPr="00000000">
                    <w:rPr>
                      <w:rtl w:val="0"/>
                    </w:rPr>
                  </w:r>
                </w:p>
                <w:p w:rsidR="00000000" w:rsidDel="00000000" w:rsidP="00000000" w:rsidRDefault="00000000" w:rsidRPr="00000000" w14:paraId="00000054">
                  <w:pPr>
                    <w:spacing w:after="0" w:line="287" w:lineRule="auto"/>
                    <w:ind w:right="57"/>
                    <w:rPr>
                      <w:rFonts w:ascii="Tahoma" w:cs="Tahoma" w:eastAsia="Tahoma" w:hAnsi="Tahoma"/>
                      <w:color w:val="0d0d0d"/>
                      <w:sz w:val="18"/>
                      <w:szCs w:val="18"/>
                      <w:highlight w:val="yellow"/>
                    </w:rPr>
                  </w:pPr>
                  <w:r w:rsidDel="00000000" w:rsidR="00000000" w:rsidRPr="00000000">
                    <w:rPr>
                      <w:rFonts w:ascii="Tahoma" w:cs="Tahoma" w:eastAsia="Tahoma" w:hAnsi="Tahoma"/>
                      <w:color w:val="0d0d0d"/>
                      <w:sz w:val="18"/>
                      <w:szCs w:val="18"/>
                      <w:rtl w:val="0"/>
                    </w:rPr>
                    <w:t xml:space="preserve">2022-2023 - 96.2%</w:t>
                  </w:r>
                  <w:r w:rsidDel="00000000" w:rsidR="00000000" w:rsidRPr="00000000">
                    <w:rPr>
                      <w:rtl w:val="0"/>
                    </w:rPr>
                  </w:r>
                </w:p>
              </w:tc>
            </w:tr>
          </w:tbl>
          <w:p w:rsidR="00000000" w:rsidDel="00000000" w:rsidP="00000000" w:rsidRDefault="00000000" w:rsidRPr="00000000" w14:paraId="00000055">
            <w:pPr>
              <w:spacing w:line="287" w:lineRule="auto"/>
              <w:ind w:right="57"/>
              <w:rPr>
                <w:rFonts w:ascii="Tahoma" w:cs="Tahoma" w:eastAsia="Tahoma" w:hAnsi="Tahoma"/>
                <w:color w:val="0d0d0d"/>
                <w:sz w:val="18"/>
                <w:szCs w:val="18"/>
                <w:highlight w:val="yellow"/>
              </w:rPr>
            </w:pPr>
            <w:r w:rsidDel="00000000" w:rsidR="00000000" w:rsidRPr="00000000">
              <w:rPr>
                <w:rtl w:val="0"/>
              </w:rPr>
            </w:r>
          </w:p>
          <w:p w:rsidR="00000000" w:rsidDel="00000000" w:rsidP="00000000" w:rsidRDefault="00000000" w:rsidRPr="00000000" w14:paraId="00000056">
            <w:pPr>
              <w:spacing w:line="287" w:lineRule="auto"/>
              <w:ind w:right="57"/>
              <w:rPr>
                <w:rFonts w:ascii="Tahoma" w:cs="Tahoma" w:eastAsia="Tahoma" w:hAnsi="Tahoma"/>
                <w:b w:val="1"/>
                <w:color w:val="0d0d0d"/>
                <w:sz w:val="18"/>
                <w:szCs w:val="18"/>
              </w:rPr>
            </w:pPr>
            <w:r w:rsidDel="00000000" w:rsidR="00000000" w:rsidRPr="00000000">
              <w:rPr>
                <w:rtl w:val="0"/>
              </w:rPr>
            </w:r>
          </w:p>
        </w:tc>
      </w:tr>
      <w:tr>
        <w:trPr>
          <w:cantSplit w:val="0"/>
          <w:trHeight w:val="1167" w:hRule="atLeast"/>
          <w:tblHeader w:val="0"/>
        </w:trPr>
        <w:tc>
          <w:tcPr>
            <w:vMerge w:val="restart"/>
          </w:tcPr>
          <w:p w:rsidR="00000000" w:rsidDel="00000000" w:rsidP="00000000" w:rsidRDefault="00000000" w:rsidRPr="00000000" w14:paraId="00000057">
            <w:pPr>
              <w:rPr>
                <w:rFonts w:ascii="Tahoma" w:cs="Tahoma" w:eastAsia="Tahoma" w:hAnsi="Tahoma"/>
                <w:color w:val="0d0d0d"/>
                <w:sz w:val="18"/>
                <w:szCs w:val="18"/>
              </w:rPr>
            </w:pPr>
            <w:r w:rsidDel="00000000" w:rsidR="00000000" w:rsidRPr="00000000">
              <w:rPr>
                <w:rFonts w:ascii="Tahoma" w:cs="Tahoma" w:eastAsia="Tahoma" w:hAnsi="Tahoma"/>
                <w:color w:val="0d0d0d"/>
                <w:sz w:val="18"/>
                <w:szCs w:val="18"/>
                <w:rtl w:val="0"/>
              </w:rPr>
              <w:t xml:space="preserve">The cultural experience of disadvantaged pupils is enhanced through access to a range of trips and visits to a variety of locations.</w:t>
            </w:r>
          </w:p>
          <w:p w:rsidR="00000000" w:rsidDel="00000000" w:rsidP="00000000" w:rsidRDefault="00000000" w:rsidRPr="00000000" w14:paraId="00000058">
            <w:pPr>
              <w:rPr>
                <w:rFonts w:ascii="Tahoma" w:cs="Tahoma" w:eastAsia="Tahoma" w:hAnsi="Tahoma"/>
                <w:color w:val="0d0d0d"/>
                <w:sz w:val="18"/>
                <w:szCs w:val="18"/>
              </w:rPr>
            </w:pPr>
            <w:r w:rsidDel="00000000" w:rsidR="00000000" w:rsidRPr="00000000">
              <w:rPr>
                <w:rtl w:val="0"/>
              </w:rPr>
            </w:r>
          </w:p>
          <w:p w:rsidR="00000000" w:rsidDel="00000000" w:rsidP="00000000" w:rsidRDefault="00000000" w:rsidRPr="00000000" w14:paraId="00000059">
            <w:pPr>
              <w:rPr>
                <w:rFonts w:ascii="Tahoma" w:cs="Tahoma" w:eastAsia="Tahoma" w:hAnsi="Tahoma"/>
                <w:color w:val="0d0d0d"/>
                <w:sz w:val="18"/>
                <w:szCs w:val="18"/>
              </w:rPr>
            </w:pPr>
            <w:r w:rsidDel="00000000" w:rsidR="00000000" w:rsidRPr="00000000">
              <w:rPr>
                <w:rtl w:val="0"/>
              </w:rPr>
            </w:r>
          </w:p>
          <w:p w:rsidR="00000000" w:rsidDel="00000000" w:rsidP="00000000" w:rsidRDefault="00000000" w:rsidRPr="00000000" w14:paraId="0000005A">
            <w:pPr>
              <w:rPr>
                <w:color w:val="000000"/>
              </w:rPr>
            </w:pPr>
            <w:r w:rsidDel="00000000" w:rsidR="00000000" w:rsidRPr="00000000">
              <w:rPr>
                <w:rFonts w:ascii="Tahoma" w:cs="Tahoma" w:eastAsia="Tahoma" w:hAnsi="Tahoma"/>
                <w:color w:val="0d0d0d"/>
                <w:sz w:val="18"/>
                <w:szCs w:val="18"/>
                <w:rtl w:val="0"/>
              </w:rPr>
              <w:t xml:space="preserve">Disadvantaged pupils have access to cultural opportunities within school such as musical tuition and other clubs.  </w:t>
            </w:r>
            <w:r w:rsidDel="00000000" w:rsidR="00000000" w:rsidRPr="00000000">
              <w:rPr>
                <w:rtl w:val="0"/>
              </w:rPr>
            </w:r>
          </w:p>
        </w:tc>
        <w:tc>
          <w:tcPr/>
          <w:p w:rsidR="00000000" w:rsidDel="00000000" w:rsidP="00000000" w:rsidRDefault="00000000" w:rsidRPr="00000000" w14:paraId="0000005B">
            <w:pPr>
              <w:numPr>
                <w:ilvl w:val="0"/>
                <w:numId w:val="2"/>
              </w:numPr>
              <w:ind w:left="475" w:hanging="360"/>
              <w:rPr>
                <w:rFonts w:ascii="Tahoma" w:cs="Tahoma" w:eastAsia="Tahoma" w:hAnsi="Tahoma"/>
                <w:color w:val="0d0d0d"/>
                <w:sz w:val="18"/>
                <w:szCs w:val="18"/>
              </w:rPr>
            </w:pPr>
            <w:r w:rsidDel="00000000" w:rsidR="00000000" w:rsidRPr="00000000">
              <w:rPr>
                <w:rFonts w:ascii="Tahoma" w:cs="Tahoma" w:eastAsia="Tahoma" w:hAnsi="Tahoma"/>
                <w:color w:val="0d0d0d"/>
                <w:sz w:val="18"/>
                <w:szCs w:val="18"/>
                <w:rtl w:val="0"/>
              </w:rPr>
              <w:t xml:space="preserve">Trips and visits were accessed by all children and financed for disadvantaged pupils as required</w:t>
            </w:r>
          </w:p>
        </w:tc>
      </w:tr>
      <w:tr>
        <w:trPr>
          <w:cantSplit w:val="0"/>
          <w:trHeight w:val="1148" w:hRule="atLeast"/>
          <w:tblHeader w:val="0"/>
        </w:trPr>
        <w:tc>
          <w:tcPr>
            <w:vMerge w:val="continue"/>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color w:val="0d0d0d"/>
                <w:sz w:val="18"/>
                <w:szCs w:val="18"/>
              </w:rPr>
            </w:pPr>
            <w:r w:rsidDel="00000000" w:rsidR="00000000" w:rsidRPr="00000000">
              <w:rPr>
                <w:rtl w:val="0"/>
              </w:rPr>
            </w:r>
          </w:p>
        </w:tc>
        <w:tc>
          <w:tcPr/>
          <w:p w:rsidR="00000000" w:rsidDel="00000000" w:rsidP="00000000" w:rsidRDefault="00000000" w:rsidRPr="00000000" w14:paraId="0000005D">
            <w:pPr>
              <w:numPr>
                <w:ilvl w:val="0"/>
                <w:numId w:val="4"/>
              </w:numPr>
              <w:ind w:left="475" w:hanging="360"/>
              <w:rPr>
                <w:rFonts w:ascii="Tahoma" w:cs="Tahoma" w:eastAsia="Tahoma" w:hAnsi="Tahoma"/>
                <w:color w:val="0d0d0d"/>
                <w:sz w:val="18"/>
                <w:szCs w:val="18"/>
              </w:rPr>
            </w:pPr>
            <w:r w:rsidDel="00000000" w:rsidR="00000000" w:rsidRPr="00000000">
              <w:rPr>
                <w:rFonts w:ascii="Tahoma" w:cs="Tahoma" w:eastAsia="Tahoma" w:hAnsi="Tahoma"/>
                <w:color w:val="0d0d0d"/>
                <w:sz w:val="18"/>
                <w:szCs w:val="18"/>
                <w:rtl w:val="0"/>
              </w:rPr>
              <w:t xml:space="preserve">Disadvantaged pupils were invited to attend two clubs each week free of charge. 64% of disadvantaged pupils attended at least 1 extra curricular club during 2022-2023</w:t>
            </w:r>
          </w:p>
        </w:tc>
      </w:tr>
    </w:tbl>
    <w:p w:rsidR="00000000" w:rsidDel="00000000" w:rsidP="00000000" w:rsidRDefault="00000000" w:rsidRPr="00000000" w14:paraId="0000005E">
      <w:pPr>
        <w:spacing w:after="0" w:lineRule="auto"/>
        <w:rPr>
          <w:color w:val="000000"/>
        </w:rPr>
      </w:pPr>
      <w:r w:rsidDel="00000000" w:rsidR="00000000" w:rsidRPr="00000000">
        <w:rPr>
          <w:rtl w:val="0"/>
        </w:rPr>
      </w:r>
    </w:p>
    <w:p w:rsidR="00000000" w:rsidDel="00000000" w:rsidP="00000000" w:rsidRDefault="00000000" w:rsidRPr="00000000" w14:paraId="0000005F">
      <w:pPr>
        <w:keepNext w:val="1"/>
        <w:keepLines w:val="1"/>
        <w:spacing w:after="0" w:lineRule="auto"/>
        <w:ind w:left="-5" w:hanging="10"/>
        <w:rPr>
          <w:rFonts w:ascii="Arial" w:cs="Arial" w:eastAsia="Arial" w:hAnsi="Arial"/>
          <w:b w:val="1"/>
          <w:color w:val="104f75"/>
          <w:sz w:val="32"/>
          <w:szCs w:val="32"/>
        </w:rPr>
      </w:pPr>
      <w:r w:rsidDel="00000000" w:rsidR="00000000" w:rsidRPr="00000000">
        <w:rPr>
          <w:rFonts w:ascii="Arial" w:cs="Arial" w:eastAsia="Arial" w:hAnsi="Arial"/>
          <w:b w:val="1"/>
          <w:color w:val="104f75"/>
          <w:sz w:val="32"/>
          <w:szCs w:val="32"/>
          <w:rtl w:val="0"/>
        </w:rPr>
        <w:t xml:space="preserve">Externally provided programmes </w:t>
      </w:r>
    </w:p>
    <w:p w:rsidR="00000000" w:rsidDel="00000000" w:rsidP="00000000" w:rsidRDefault="00000000" w:rsidRPr="00000000" w14:paraId="00000060">
      <w:pPr>
        <w:spacing w:after="0" w:line="240" w:lineRule="auto"/>
        <w:rPr>
          <w:color w:val="000000"/>
        </w:rPr>
      </w:pPr>
      <w:r w:rsidDel="00000000" w:rsidR="00000000" w:rsidRPr="00000000">
        <w:rPr>
          <w:rFonts w:ascii="Arial" w:cs="Arial" w:eastAsia="Arial" w:hAnsi="Arial"/>
          <w:i w:val="1"/>
          <w:color w:val="0d0d0d"/>
          <w:sz w:val="24"/>
          <w:szCs w:val="24"/>
          <w:rtl w:val="0"/>
        </w:rPr>
        <w:t xml:space="preserve">Please include the names of any non-DfE programmes that you purchased in the previous academic year. This will help the Department for Education identify which ones are popular in England </w:t>
      </w:r>
      <w:r w:rsidDel="00000000" w:rsidR="00000000" w:rsidRPr="00000000">
        <w:rPr>
          <w:rtl w:val="0"/>
        </w:rPr>
      </w:r>
    </w:p>
    <w:p w:rsidR="00000000" w:rsidDel="00000000" w:rsidP="00000000" w:rsidRDefault="00000000" w:rsidRPr="00000000" w14:paraId="00000061">
      <w:pPr>
        <w:spacing w:after="0" w:lineRule="auto"/>
        <w:rPr/>
      </w:pPr>
      <w:r w:rsidDel="00000000" w:rsidR="00000000" w:rsidRPr="00000000">
        <w:rPr>
          <w:rFonts w:ascii="Arial" w:cs="Arial" w:eastAsia="Arial" w:hAnsi="Arial"/>
          <w:i w:val="1"/>
          <w:color w:val="0d0d0d"/>
          <w:sz w:val="24"/>
          <w:szCs w:val="24"/>
          <w:rtl w:val="0"/>
        </w:rPr>
        <w:t xml:space="preserve"> </w:t>
      </w:r>
      <w:r w:rsidDel="00000000" w:rsidR="00000000" w:rsidRPr="00000000">
        <w:rPr>
          <w:rtl w:val="0"/>
        </w:rPr>
      </w:r>
    </w:p>
    <w:tbl>
      <w:tblPr>
        <w:tblStyle w:val="Table6"/>
        <w:tblW w:w="9486.0" w:type="dxa"/>
        <w:jc w:val="left"/>
        <w:tblInd w:w="7.0" w:type="dxa"/>
        <w:tblLayout w:type="fixed"/>
        <w:tblLook w:val="0400"/>
      </w:tblPr>
      <w:tblGrid>
        <w:gridCol w:w="4816"/>
        <w:gridCol w:w="4670"/>
        <w:tblGridChange w:id="0">
          <w:tblGrid>
            <w:gridCol w:w="4816"/>
            <w:gridCol w:w="4670"/>
          </w:tblGrid>
        </w:tblGridChange>
      </w:tblGrid>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shd w:fill="d8e2e9" w:val="clear"/>
          </w:tcPr>
          <w:p w:rsidR="00000000" w:rsidDel="00000000" w:rsidP="00000000" w:rsidRDefault="00000000" w:rsidRPr="00000000" w14:paraId="00000062">
            <w:pPr>
              <w:spacing w:after="0" w:line="240" w:lineRule="auto"/>
              <w:rPr/>
            </w:pPr>
            <w:r w:rsidDel="00000000" w:rsidR="00000000" w:rsidRPr="00000000">
              <w:rPr>
                <w:rFonts w:ascii="Arial" w:cs="Arial" w:eastAsia="Arial" w:hAnsi="Arial"/>
                <w:b w:val="1"/>
                <w:color w:val="0d0d0d"/>
                <w:sz w:val="24"/>
                <w:szCs w:val="24"/>
                <w:rtl w:val="0"/>
              </w:rPr>
              <w:t xml:space="preserve">Programme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8e2e9" w:val="clear"/>
          </w:tcPr>
          <w:p w:rsidR="00000000" w:rsidDel="00000000" w:rsidP="00000000" w:rsidRDefault="00000000" w:rsidRPr="00000000" w14:paraId="00000063">
            <w:pPr>
              <w:spacing w:after="0" w:line="240" w:lineRule="auto"/>
              <w:rPr/>
            </w:pPr>
            <w:r w:rsidDel="00000000" w:rsidR="00000000" w:rsidRPr="00000000">
              <w:rPr>
                <w:rFonts w:ascii="Arial" w:cs="Arial" w:eastAsia="Arial" w:hAnsi="Arial"/>
                <w:b w:val="1"/>
                <w:color w:val="0d0d0d"/>
                <w:sz w:val="24"/>
                <w:szCs w:val="24"/>
                <w:rtl w:val="0"/>
              </w:rPr>
              <w:t xml:space="preserve">Provider </w:t>
            </w:r>
            <w:r w:rsidDel="00000000" w:rsidR="00000000" w:rsidRPr="00000000">
              <w:rPr>
                <w:rtl w:val="0"/>
              </w:rPr>
            </w:r>
          </w:p>
        </w:tc>
      </w:tr>
      <w:tr>
        <w:trPr>
          <w:cantSplit w:val="0"/>
          <w:trHeight w:val="28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spacing w:after="0" w:line="240" w:lineRule="auto"/>
              <w:rPr>
                <w:rFonts w:ascii="Tahoma" w:cs="Tahoma" w:eastAsia="Tahoma" w:hAnsi="Tahoma"/>
                <w:sz w:val="24"/>
                <w:szCs w:val="24"/>
              </w:rPr>
            </w:pPr>
            <w:r w:rsidDel="00000000" w:rsidR="00000000" w:rsidRPr="00000000">
              <w:rPr>
                <w:rFonts w:ascii="Tahoma" w:cs="Tahoma" w:eastAsia="Tahoma" w:hAnsi="Tahoma"/>
                <w:sz w:val="24"/>
                <w:szCs w:val="24"/>
                <w:rtl w:val="0"/>
              </w:rPr>
              <w:t xml:space="preserve">Power Maths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spacing w:after="0" w:line="240" w:lineRule="auto"/>
              <w:rPr>
                <w:rFonts w:ascii="Tahoma" w:cs="Tahoma" w:eastAsia="Tahoma" w:hAnsi="Tahoma"/>
                <w:sz w:val="24"/>
                <w:szCs w:val="24"/>
              </w:rPr>
            </w:pPr>
            <w:r w:rsidDel="00000000" w:rsidR="00000000" w:rsidRPr="00000000">
              <w:rPr>
                <w:rFonts w:ascii="Tahoma" w:cs="Tahoma" w:eastAsia="Tahoma" w:hAnsi="Tahoma"/>
                <w:sz w:val="24"/>
                <w:szCs w:val="24"/>
                <w:rtl w:val="0"/>
              </w:rPr>
              <w:t xml:space="preserve">Pearson </w:t>
            </w:r>
          </w:p>
        </w:tc>
      </w:tr>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spacing w:after="0" w:line="240" w:lineRule="auto"/>
              <w:rPr>
                <w:rFonts w:ascii="Tahoma" w:cs="Tahoma" w:eastAsia="Tahoma" w:hAnsi="Tahoma"/>
                <w:sz w:val="24"/>
                <w:szCs w:val="24"/>
              </w:rPr>
            </w:pPr>
            <w:r w:rsidDel="00000000" w:rsidR="00000000" w:rsidRPr="00000000">
              <w:rPr>
                <w:rFonts w:ascii="Tahoma" w:cs="Tahoma" w:eastAsia="Tahoma" w:hAnsi="Tahoma"/>
                <w:sz w:val="24"/>
                <w:szCs w:val="24"/>
                <w:rtl w:val="0"/>
              </w:rPr>
              <w:t xml:space="preserve">Maths Mastery NCETM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spacing w:after="0" w:line="240" w:lineRule="auto"/>
              <w:rPr>
                <w:rFonts w:ascii="Tahoma" w:cs="Tahoma" w:eastAsia="Tahoma" w:hAnsi="Tahoma"/>
                <w:sz w:val="24"/>
                <w:szCs w:val="24"/>
              </w:rPr>
            </w:pPr>
            <w:r w:rsidDel="00000000" w:rsidR="00000000" w:rsidRPr="00000000">
              <w:rPr>
                <w:rFonts w:ascii="Tahoma" w:cs="Tahoma" w:eastAsia="Tahoma" w:hAnsi="Tahoma"/>
                <w:sz w:val="24"/>
                <w:szCs w:val="24"/>
                <w:rtl w:val="0"/>
              </w:rPr>
              <w:t xml:space="preserve">Maths Hub </w:t>
            </w:r>
          </w:p>
        </w:tc>
      </w:tr>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spacing w:after="0" w:line="240" w:lineRule="auto"/>
              <w:rPr>
                <w:rFonts w:ascii="Tahoma" w:cs="Tahoma" w:eastAsia="Tahoma" w:hAnsi="Tahoma"/>
                <w:sz w:val="24"/>
                <w:szCs w:val="24"/>
              </w:rPr>
            </w:pPr>
            <w:r w:rsidDel="00000000" w:rsidR="00000000" w:rsidRPr="00000000">
              <w:rPr>
                <w:rFonts w:ascii="Tahoma" w:cs="Tahoma" w:eastAsia="Tahoma" w:hAnsi="Tahoma"/>
                <w:sz w:val="24"/>
                <w:szCs w:val="24"/>
                <w:rtl w:val="0"/>
              </w:rPr>
              <w:t xml:space="preserve">Vipers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spacing w:after="0" w:line="240" w:lineRule="auto"/>
              <w:rPr>
                <w:rFonts w:ascii="Tahoma" w:cs="Tahoma" w:eastAsia="Tahoma" w:hAnsi="Tahoma"/>
                <w:sz w:val="24"/>
                <w:szCs w:val="24"/>
              </w:rPr>
            </w:pPr>
            <w:r w:rsidDel="00000000" w:rsidR="00000000" w:rsidRPr="00000000">
              <w:rPr>
                <w:rFonts w:ascii="Tahoma" w:cs="Tahoma" w:eastAsia="Tahoma" w:hAnsi="Tahoma"/>
                <w:sz w:val="24"/>
                <w:szCs w:val="24"/>
                <w:rtl w:val="0"/>
              </w:rPr>
              <w:t xml:space="preserve">The Literacy Shed</w:t>
            </w:r>
          </w:p>
        </w:tc>
      </w:tr>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spacing w:after="0" w:line="240" w:lineRule="auto"/>
              <w:rPr>
                <w:rFonts w:ascii="Tahoma" w:cs="Tahoma" w:eastAsia="Tahoma" w:hAnsi="Tahoma"/>
                <w:sz w:val="24"/>
                <w:szCs w:val="24"/>
              </w:rPr>
            </w:pPr>
            <w:r w:rsidDel="00000000" w:rsidR="00000000" w:rsidRPr="00000000">
              <w:rPr>
                <w:rFonts w:ascii="Tahoma" w:cs="Tahoma" w:eastAsia="Tahoma" w:hAnsi="Tahoma"/>
                <w:sz w:val="24"/>
                <w:szCs w:val="24"/>
                <w:rtl w:val="0"/>
              </w:rPr>
              <w:t xml:space="preserve">Fresh Start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spacing w:after="0" w:line="240" w:lineRule="auto"/>
              <w:rPr>
                <w:rFonts w:ascii="Tahoma" w:cs="Tahoma" w:eastAsia="Tahoma" w:hAnsi="Tahoma"/>
                <w:sz w:val="24"/>
                <w:szCs w:val="24"/>
              </w:rPr>
            </w:pPr>
            <w:r w:rsidDel="00000000" w:rsidR="00000000" w:rsidRPr="00000000">
              <w:rPr>
                <w:rFonts w:ascii="Tahoma" w:cs="Tahoma" w:eastAsia="Tahoma" w:hAnsi="Tahoma"/>
                <w:sz w:val="24"/>
                <w:szCs w:val="24"/>
                <w:rtl w:val="0"/>
              </w:rPr>
              <w:t xml:space="preserve">RWI </w:t>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spacing w:after="0" w:line="240" w:lineRule="auto"/>
              <w:rPr>
                <w:rFonts w:ascii="Tahoma" w:cs="Tahoma" w:eastAsia="Tahoma" w:hAnsi="Tahoma"/>
                <w:sz w:val="24"/>
                <w:szCs w:val="24"/>
              </w:rPr>
            </w:pPr>
            <w:r w:rsidDel="00000000" w:rsidR="00000000" w:rsidRPr="00000000">
              <w:rPr>
                <w:rFonts w:ascii="Tahoma" w:cs="Tahoma" w:eastAsia="Tahoma" w:hAnsi="Tahoma"/>
                <w:sz w:val="24"/>
                <w:szCs w:val="24"/>
                <w:rtl w:val="0"/>
              </w:rPr>
              <w:t xml:space="preserve">Phonics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spacing w:after="0" w:line="240" w:lineRule="auto"/>
              <w:rPr>
                <w:rFonts w:ascii="Tahoma" w:cs="Tahoma" w:eastAsia="Tahoma" w:hAnsi="Tahoma"/>
                <w:sz w:val="24"/>
                <w:szCs w:val="24"/>
              </w:rPr>
            </w:pPr>
            <w:r w:rsidDel="00000000" w:rsidR="00000000" w:rsidRPr="00000000">
              <w:rPr>
                <w:rFonts w:ascii="Tahoma" w:cs="Tahoma" w:eastAsia="Tahoma" w:hAnsi="Tahoma"/>
                <w:sz w:val="24"/>
                <w:szCs w:val="24"/>
                <w:rtl w:val="0"/>
              </w:rPr>
              <w:t xml:space="preserve">RWI Phonics</w:t>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spacing w:after="0" w:line="240" w:lineRule="auto"/>
              <w:rPr>
                <w:rFonts w:ascii="Tahoma" w:cs="Tahoma" w:eastAsia="Tahoma" w:hAnsi="Tahoma"/>
                <w:sz w:val="24"/>
                <w:szCs w:val="24"/>
              </w:rPr>
            </w:pPr>
            <w:r w:rsidDel="00000000" w:rsidR="00000000" w:rsidRPr="00000000">
              <w:rPr>
                <w:rFonts w:ascii="Tahoma" w:cs="Tahoma" w:eastAsia="Tahoma" w:hAnsi="Tahoma"/>
                <w:sz w:val="24"/>
                <w:szCs w:val="24"/>
                <w:rtl w:val="0"/>
              </w:rPr>
              <w:t xml:space="preserve">Developing Experts - Science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spacing w:after="0" w:line="240" w:lineRule="auto"/>
              <w:rPr>
                <w:rFonts w:ascii="Tahoma" w:cs="Tahoma" w:eastAsia="Tahoma" w:hAnsi="Tahoma"/>
                <w:sz w:val="24"/>
                <w:szCs w:val="24"/>
              </w:rPr>
            </w:pPr>
            <w:r w:rsidDel="00000000" w:rsidR="00000000" w:rsidRPr="00000000">
              <w:rPr>
                <w:rFonts w:ascii="Tahoma" w:cs="Tahoma" w:eastAsia="Tahoma" w:hAnsi="Tahoma"/>
                <w:sz w:val="24"/>
                <w:szCs w:val="24"/>
                <w:rtl w:val="0"/>
              </w:rPr>
              <w:t xml:space="preserve">Developing Experts </w:t>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spacing w:after="0" w:line="240" w:lineRule="auto"/>
              <w:rPr>
                <w:rFonts w:ascii="Tahoma" w:cs="Tahoma" w:eastAsia="Tahoma" w:hAnsi="Tahoma"/>
                <w:sz w:val="24"/>
                <w:szCs w:val="24"/>
              </w:rPr>
            </w:pPr>
            <w:r w:rsidDel="00000000" w:rsidR="00000000" w:rsidRPr="00000000">
              <w:rPr>
                <w:rFonts w:ascii="Tahoma" w:cs="Tahoma" w:eastAsia="Tahoma" w:hAnsi="Tahoma"/>
                <w:sz w:val="24"/>
                <w:szCs w:val="24"/>
                <w:rtl w:val="0"/>
              </w:rPr>
              <w:t xml:space="preserve">Kapow - PSHE, Music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spacing w:after="0" w:line="240" w:lineRule="auto"/>
              <w:rPr>
                <w:rFonts w:ascii="Tahoma" w:cs="Tahoma" w:eastAsia="Tahoma" w:hAnsi="Tahoma"/>
                <w:sz w:val="24"/>
                <w:szCs w:val="24"/>
              </w:rPr>
            </w:pPr>
            <w:r w:rsidDel="00000000" w:rsidR="00000000" w:rsidRPr="00000000">
              <w:rPr>
                <w:rFonts w:ascii="Tahoma" w:cs="Tahoma" w:eastAsia="Tahoma" w:hAnsi="Tahoma"/>
                <w:sz w:val="24"/>
                <w:szCs w:val="24"/>
                <w:rtl w:val="0"/>
              </w:rPr>
              <w:t xml:space="preserve">Kapow </w:t>
            </w:r>
          </w:p>
        </w:tc>
      </w:tr>
    </w:tbl>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spacing w:after="0" w:lineRule="auto"/>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92"/>
      <w:numFmt w:val="bullet"/>
      <w:lvlText w:val="●"/>
      <w:lvlJc w:val="left"/>
      <w:pPr>
        <w:ind w:left="470" w:hanging="360"/>
      </w:pPr>
      <w:rPr>
        <w:rFonts w:ascii="Noto Sans Symbols" w:cs="Noto Sans Symbols" w:eastAsia="Noto Sans Symbols" w:hAnsi="Noto Sans Symbols"/>
        <w:color w:val="0d0d0d"/>
        <w:sz w:val="18"/>
        <w:szCs w:val="18"/>
      </w:rPr>
    </w:lvl>
    <w:lvl w:ilvl="1">
      <w:start w:val="1"/>
      <w:numFmt w:val="bullet"/>
      <w:lvlText w:val="o"/>
      <w:lvlJc w:val="left"/>
      <w:pPr>
        <w:ind w:left="1190" w:hanging="360"/>
      </w:pPr>
      <w:rPr>
        <w:rFonts w:ascii="Courier New" w:cs="Courier New" w:eastAsia="Courier New" w:hAnsi="Courier New"/>
      </w:rPr>
    </w:lvl>
    <w:lvl w:ilvl="2">
      <w:start w:val="1"/>
      <w:numFmt w:val="bullet"/>
      <w:lvlText w:val="▪"/>
      <w:lvlJc w:val="left"/>
      <w:pPr>
        <w:ind w:left="1910" w:hanging="360"/>
      </w:pPr>
      <w:rPr>
        <w:rFonts w:ascii="Noto Sans Symbols" w:cs="Noto Sans Symbols" w:eastAsia="Noto Sans Symbols" w:hAnsi="Noto Sans Symbols"/>
      </w:rPr>
    </w:lvl>
    <w:lvl w:ilvl="3">
      <w:start w:val="1"/>
      <w:numFmt w:val="bullet"/>
      <w:lvlText w:val="●"/>
      <w:lvlJc w:val="left"/>
      <w:pPr>
        <w:ind w:left="2630" w:hanging="360"/>
      </w:pPr>
      <w:rPr>
        <w:rFonts w:ascii="Noto Sans Symbols" w:cs="Noto Sans Symbols" w:eastAsia="Noto Sans Symbols" w:hAnsi="Noto Sans Symbols"/>
      </w:rPr>
    </w:lvl>
    <w:lvl w:ilvl="4">
      <w:start w:val="1"/>
      <w:numFmt w:val="bullet"/>
      <w:lvlText w:val="o"/>
      <w:lvlJc w:val="left"/>
      <w:pPr>
        <w:ind w:left="3350" w:hanging="360"/>
      </w:pPr>
      <w:rPr>
        <w:rFonts w:ascii="Courier New" w:cs="Courier New" w:eastAsia="Courier New" w:hAnsi="Courier New"/>
      </w:rPr>
    </w:lvl>
    <w:lvl w:ilvl="5">
      <w:start w:val="1"/>
      <w:numFmt w:val="bullet"/>
      <w:lvlText w:val="▪"/>
      <w:lvlJc w:val="left"/>
      <w:pPr>
        <w:ind w:left="4070" w:hanging="360"/>
      </w:pPr>
      <w:rPr>
        <w:rFonts w:ascii="Noto Sans Symbols" w:cs="Noto Sans Symbols" w:eastAsia="Noto Sans Symbols" w:hAnsi="Noto Sans Symbols"/>
      </w:rPr>
    </w:lvl>
    <w:lvl w:ilvl="6">
      <w:start w:val="1"/>
      <w:numFmt w:val="bullet"/>
      <w:lvlText w:val="●"/>
      <w:lvlJc w:val="left"/>
      <w:pPr>
        <w:ind w:left="4790" w:hanging="360"/>
      </w:pPr>
      <w:rPr>
        <w:rFonts w:ascii="Noto Sans Symbols" w:cs="Noto Sans Symbols" w:eastAsia="Noto Sans Symbols" w:hAnsi="Noto Sans Symbols"/>
      </w:rPr>
    </w:lvl>
    <w:lvl w:ilvl="7">
      <w:start w:val="1"/>
      <w:numFmt w:val="bullet"/>
      <w:lvlText w:val="o"/>
      <w:lvlJc w:val="left"/>
      <w:pPr>
        <w:ind w:left="5510" w:hanging="360"/>
      </w:pPr>
      <w:rPr>
        <w:rFonts w:ascii="Courier New" w:cs="Courier New" w:eastAsia="Courier New" w:hAnsi="Courier New"/>
      </w:rPr>
    </w:lvl>
    <w:lvl w:ilvl="8">
      <w:start w:val="1"/>
      <w:numFmt w:val="bullet"/>
      <w:lvlText w:val="▪"/>
      <w:lvlJc w:val="left"/>
      <w:pPr>
        <w:ind w:left="623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1.0" w:type="dxa"/>
        <w:left w:w="166.0" w:type="dxa"/>
        <w:bottom w:w="100.0" w:type="dxa"/>
        <w:right w:w="115.0" w:type="dxa"/>
      </w:tblCellMar>
    </w:tblPr>
  </w:style>
  <w:style w:type="table" w:styleId="Table2">
    <w:basedOn w:val="TableNormal"/>
    <w:pPr>
      <w:spacing w:after="0" w:line="240" w:lineRule="auto"/>
    </w:pPr>
    <w:tblPr>
      <w:tblStyleRowBandSize w:val="1"/>
      <w:tblStyleColBandSize w:val="1"/>
      <w:tblCellMar>
        <w:top w:w="11.0" w:type="dxa"/>
        <w:left w:w="166.0" w:type="dxa"/>
        <w:bottom w:w="100.0" w:type="dxa"/>
        <w:right w:w="115.0" w:type="dxa"/>
      </w:tblCellMar>
    </w:tblPr>
  </w:style>
  <w:style w:type="table" w:styleId="Table3">
    <w:basedOn w:val="TableNormal"/>
    <w:pPr>
      <w:spacing w:after="0" w:line="240" w:lineRule="auto"/>
    </w:pPr>
    <w:tblPr>
      <w:tblStyleRowBandSize w:val="1"/>
      <w:tblStyleColBandSize w:val="1"/>
      <w:tblCellMar>
        <w:top w:w="11.0" w:type="dxa"/>
        <w:left w:w="166.0" w:type="dxa"/>
        <w:bottom w:w="100.0" w:type="dxa"/>
        <w:right w:w="115.0" w:type="dxa"/>
      </w:tblCellMar>
    </w:tblPr>
  </w:style>
  <w:style w:type="table" w:styleId="Table4">
    <w:basedOn w:val="TableNormal"/>
    <w:pPr>
      <w:spacing w:after="0" w:line="240" w:lineRule="auto"/>
    </w:pPr>
    <w:tblPr>
      <w:tblStyleRowBandSize w:val="1"/>
      <w:tblStyleColBandSize w:val="1"/>
      <w:tblCellMar>
        <w:top w:w="11.0" w:type="dxa"/>
        <w:left w:w="166.0" w:type="dxa"/>
        <w:bottom w:w="100.0" w:type="dxa"/>
        <w:right w:w="115.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pPr>
      <w:spacing w:after="0" w:line="240" w:lineRule="auto"/>
    </w:pPr>
    <w:tblPr>
      <w:tblStyleRowBandSize w:val="1"/>
      <w:tblStyleColBandSize w:val="1"/>
      <w:tblCellMar>
        <w:top w:w="11.0" w:type="dxa"/>
        <w:left w:w="166.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MIO6KCEDPMb+wihYciJmdu1jxA==">CgMxLjAyCWguMzBqMHpsbDgAciExUE91NHB0d045M29TX1dvcGN4YUlzTnFLODZkNkZDczI=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